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FF" w:rsidRPr="00FE60FF" w:rsidRDefault="00FE60FF" w:rsidP="00FE60FF">
      <w:pPr>
        <w:pStyle w:val="Balk1"/>
        <w:rPr>
          <w:rFonts w:ascii="Times New Roman" w:hAnsi="Times New Roman" w:cs="Times New Roman"/>
        </w:rPr>
      </w:pPr>
      <w:r w:rsidRPr="00FE60FF">
        <w:rPr>
          <w:rFonts w:ascii="Times New Roman" w:hAnsi="Times New Roman" w:cs="Times New Roman"/>
        </w:rPr>
        <w:t>TEMLİK BORCU DOĞURAN SÖZLEŞMELER-SATIŞ SÖZLEŞMESİ</w:t>
      </w:r>
    </w:p>
    <w:p w:rsidR="00FE60FF" w:rsidRPr="00FE60FF" w:rsidRDefault="00FE60FF" w:rsidP="00FE60FF">
      <w:pPr>
        <w:spacing w:before="100" w:beforeAutospacing="1" w:after="100" w:afterAutospacing="1" w:line="360" w:lineRule="auto"/>
        <w:ind w:firstLine="708"/>
        <w:jc w:val="both"/>
        <w:rPr>
          <w:rFonts w:ascii="Times New Roman" w:hAnsi="Times New Roman" w:cs="Times New Roman"/>
          <w:sz w:val="24"/>
          <w:szCs w:val="24"/>
        </w:rPr>
      </w:pPr>
      <w:r w:rsidRPr="00FE60FF">
        <w:rPr>
          <w:rFonts w:ascii="Times New Roman" w:hAnsi="Times New Roman" w:cs="Times New Roman"/>
          <w:sz w:val="24"/>
          <w:szCs w:val="24"/>
        </w:rPr>
        <w:t>TBK m. 207/I’e göre, “satış sözleşmesi satıcının, satılanın zilyetlik ve mülkiyetini alıcıya devretme, alıcının ise buna karşılık bir bedel ödeme borcunu üstlendiği sözleşmedir”. Satış sözleşmesinin kurulması için, tarafların objektif ve sübjektif bakımdan esaslı noktalar üzerinde anlaşmaları gerekir. Satış sözleşmesinin objektif bakımdan esaslı noktaları, satılan (satım konusu), semen ve bunların birbirleriyle değiştirilmesi taahhüdüdür.</w:t>
      </w:r>
      <w:r>
        <w:rPr>
          <w:rFonts w:ascii="Times New Roman" w:hAnsi="Times New Roman" w:cs="Times New Roman"/>
          <w:sz w:val="24"/>
          <w:szCs w:val="24"/>
        </w:rPr>
        <w:t xml:space="preserve"> </w:t>
      </w:r>
      <w:r w:rsidRPr="00FE60FF">
        <w:rPr>
          <w:rFonts w:ascii="Times New Roman" w:hAnsi="Times New Roman" w:cs="Times New Roman"/>
          <w:sz w:val="24"/>
          <w:szCs w:val="24"/>
        </w:rPr>
        <w:t>Buna göre, satım konusunun ve bedelin belirlenmesi hususu, satış sözleşmesinin kurulabilmesi bakımından önem taşımaktadır. TBK m. 207/III, satış sözleşmesinin kurulabilmesi için semenin belirlenebilir olmasını yeterli görmektedir. Bir edimin belirlenebilir olması (Bestimmbarkeit), edimin sözleşmenin kurulmasından sonra, yeni bir anlaşmaya gerek olmadan somut bir muhteva kazanma imk</w:t>
      </w:r>
      <w:r w:rsidRPr="00FE60FF">
        <w:rPr>
          <w:rFonts w:ascii="Times New Roman" w:hAnsi="Times New Roman" w:cs="Times New Roman"/>
          <w:sz w:val="24"/>
          <w:szCs w:val="24"/>
        </w:rPr>
        <w:sym w:font="Times New Roman" w:char="00E2"/>
      </w:r>
      <w:r w:rsidRPr="00FE60FF">
        <w:rPr>
          <w:rFonts w:ascii="Times New Roman" w:hAnsi="Times New Roman" w:cs="Times New Roman"/>
          <w:sz w:val="24"/>
          <w:szCs w:val="24"/>
        </w:rPr>
        <w:t>nını ifade eder</w:t>
      </w:r>
    </w:p>
    <w:p w:rsidR="00FE60FF" w:rsidRPr="00FE60FF" w:rsidRDefault="00FE60FF" w:rsidP="00FE60FF">
      <w:pPr>
        <w:pStyle w:val="Balk3"/>
        <w:spacing w:before="100" w:beforeAutospacing="1" w:after="100" w:afterAutospacing="1" w:line="360" w:lineRule="auto"/>
        <w:ind w:firstLine="708"/>
        <w:jc w:val="both"/>
        <w:rPr>
          <w:rFonts w:ascii="Times New Roman" w:hAnsi="Times New Roman"/>
          <w:b w:val="0"/>
        </w:rPr>
      </w:pPr>
      <w:r w:rsidRPr="00FE60FF">
        <w:rPr>
          <w:rFonts w:ascii="Times New Roman" w:hAnsi="Times New Roman"/>
          <w:b w:val="0"/>
        </w:rPr>
        <w:t>Satış sözleşmesi borç doğuran bir sözleşmedir. Satış sözleşmesi rızaî bir sözleşmedir. Satış sözleşmesi tam iki tarafa borç yükleyen bir sözleşmedir. Satış sözleşmesi ani edimleri ihtiva eden bir sözleşmedir. Satış sözleşmesi illî (sebebe bağlı) bir sözleşmedir.</w:t>
      </w:r>
    </w:p>
    <w:p w:rsidR="00FE60FF" w:rsidRDefault="00FE60FF" w:rsidP="00FE60FF">
      <w:pPr>
        <w:pStyle w:val="GvdeMetni"/>
        <w:ind w:firstLine="708"/>
        <w:rPr>
          <w:rFonts w:ascii="Times New Roman" w:hAnsi="Times New Roman" w:cs="Times New Roman"/>
        </w:rPr>
      </w:pPr>
      <w:r w:rsidRPr="00FE60FF">
        <w:rPr>
          <w:rFonts w:ascii="Times New Roman" w:hAnsi="Times New Roman" w:cs="Times New Roman"/>
        </w:rPr>
        <w:t xml:space="preserve">Satıcının malvarlığının aktifinde yer alan ve başkasına para karşılığında devredilebilen her türlü eşya, haklar, tabiî kuvvetler veya diğer hukukî varlıklar satış sözleşmesine konu olabilir; meğer ki, bunlar başka sözleşme tiplerine dahil edilmelerini zorunlu kılan özellikler taşısın. </w:t>
      </w:r>
    </w:p>
    <w:p w:rsidR="00FE60FF" w:rsidRPr="00FE60FF" w:rsidRDefault="00FE60FF" w:rsidP="00FE60FF">
      <w:pPr>
        <w:spacing w:before="100" w:beforeAutospacing="1" w:after="100" w:afterAutospacing="1" w:line="360" w:lineRule="auto"/>
        <w:ind w:firstLine="708"/>
        <w:jc w:val="both"/>
        <w:rPr>
          <w:rFonts w:ascii="Times New Roman" w:hAnsi="Times New Roman" w:cs="Times New Roman"/>
          <w:sz w:val="24"/>
          <w:szCs w:val="24"/>
        </w:rPr>
      </w:pPr>
      <w:r w:rsidRPr="00FE60FF">
        <w:rPr>
          <w:rFonts w:ascii="Times New Roman" w:hAnsi="Times New Roman" w:cs="Times New Roman"/>
          <w:sz w:val="24"/>
          <w:szCs w:val="24"/>
        </w:rPr>
        <w:t>Borçlar Kanunu’nun satıma ilişkin hükümleri, sözleşmenin konusuna göre, satış sözleşmesini taşınır satışı ve taşınmaz satışı olarak ikiye ayır</w:t>
      </w:r>
      <w:r w:rsidRPr="00FE60FF">
        <w:rPr>
          <w:rFonts w:ascii="Times New Roman" w:hAnsi="Times New Roman" w:cs="Times New Roman"/>
          <w:sz w:val="24"/>
          <w:szCs w:val="24"/>
        </w:rPr>
        <w:softHyphen/>
        <w:t>maktadır. TBK m. 209/I'e göre, "Taşınır satışı, Türk Medeni Kanunu uyarınca taşınmaz sayılanlar dışında kalan ve diğer kanunlarda taşınır olarak belirtilen şeylerin satışıdır."</w:t>
      </w:r>
    </w:p>
    <w:p w:rsidR="00F15CAB" w:rsidRPr="00FE60FF" w:rsidRDefault="00FE60FF" w:rsidP="00FE60F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F15CAB" w:rsidRPr="00FE60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30C" w:rsidRDefault="00D3430C" w:rsidP="004A09E2">
      <w:pPr>
        <w:spacing w:after="0" w:line="240" w:lineRule="auto"/>
      </w:pPr>
      <w:r>
        <w:separator/>
      </w:r>
    </w:p>
  </w:endnote>
  <w:endnote w:type="continuationSeparator" w:id="0">
    <w:p w:rsidR="00D3430C" w:rsidRDefault="00D3430C"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30C" w:rsidRDefault="00D3430C" w:rsidP="004A09E2">
      <w:pPr>
        <w:spacing w:after="0" w:line="240" w:lineRule="auto"/>
      </w:pPr>
      <w:r>
        <w:separator/>
      </w:r>
    </w:p>
  </w:footnote>
  <w:footnote w:type="continuationSeparator" w:id="0">
    <w:p w:rsidR="00D3430C" w:rsidRDefault="00D3430C"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5376C"/>
    <w:rsid w:val="001B6F98"/>
    <w:rsid w:val="00273FCE"/>
    <w:rsid w:val="004A09E2"/>
    <w:rsid w:val="00687282"/>
    <w:rsid w:val="0087534C"/>
    <w:rsid w:val="00A04707"/>
    <w:rsid w:val="00B71A14"/>
    <w:rsid w:val="00D3430C"/>
    <w:rsid w:val="00E22091"/>
    <w:rsid w:val="00E537F4"/>
    <w:rsid w:val="00F15CAB"/>
    <w:rsid w:val="00FE6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FF"/>
  </w:style>
  <w:style w:type="paragraph" w:styleId="Balk1">
    <w:name w:val="heading 1"/>
    <w:basedOn w:val="Normal"/>
    <w:next w:val="Normal"/>
    <w:link w:val="Balk1Char"/>
    <w:uiPriority w:val="9"/>
    <w:qFormat/>
    <w:rsid w:val="00FE60FF"/>
    <w:pPr>
      <w:keepNext/>
      <w:spacing w:before="100" w:beforeAutospacing="1" w:after="100" w:afterAutospacing="1" w:line="360" w:lineRule="auto"/>
      <w:ind w:firstLine="708"/>
      <w:jc w:val="both"/>
      <w:outlineLvl w:val="0"/>
    </w:pPr>
    <w:rPr>
      <w:rFonts w:ascii="Calibri" w:hAnsi="Calibri"/>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FE60FF"/>
    <w:rPr>
      <w:rFonts w:ascii="Calibri" w:hAnsi="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2018-01-03T22:50:00Z</dcterms:created>
  <dcterms:modified xsi:type="dcterms:W3CDTF">2018-01-09T23:48:00Z</dcterms:modified>
</cp:coreProperties>
</file>