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0BB" w:rsidRPr="000610BB" w:rsidRDefault="000610BB" w:rsidP="000610BB">
      <w:pPr>
        <w:pStyle w:val="Balk1"/>
      </w:pPr>
      <w:r w:rsidRPr="000610BB">
        <w:t>ALICININ BORÇLARI VE TEMERRÜDÜ</w:t>
      </w:r>
    </w:p>
    <w:p w:rsidR="000610BB" w:rsidRPr="000610BB" w:rsidRDefault="000610BB" w:rsidP="000610BB">
      <w:pPr>
        <w:spacing w:before="100" w:beforeAutospacing="1" w:after="100" w:afterAutospacing="1" w:line="360" w:lineRule="auto"/>
        <w:jc w:val="both"/>
        <w:rPr>
          <w:rFonts w:ascii="Times New Roman" w:hAnsi="Times New Roman" w:cs="Times New Roman"/>
          <w:sz w:val="24"/>
          <w:szCs w:val="24"/>
        </w:rPr>
      </w:pPr>
      <w:r w:rsidRPr="000610BB">
        <w:rPr>
          <w:rFonts w:ascii="Times New Roman" w:hAnsi="Times New Roman" w:cs="Times New Roman"/>
          <w:b/>
          <w:sz w:val="24"/>
          <w:szCs w:val="24"/>
        </w:rPr>
        <w:t>Bedeli ödeme borcu:</w:t>
      </w:r>
      <w:r w:rsidRPr="000610BB">
        <w:rPr>
          <w:rFonts w:ascii="Times New Roman" w:hAnsi="Times New Roman" w:cs="Times New Roman"/>
          <w:sz w:val="24"/>
          <w:szCs w:val="24"/>
        </w:rPr>
        <w:t xml:space="preserve"> Satış akdinde bedeli ödeme borcu (TBK m. 207/I ve m. 232/I), alıcının aslî edim yükümünü teşkil eder.</w:t>
      </w:r>
      <w:r w:rsidRPr="000610BB">
        <w:rPr>
          <w:rFonts w:ascii="Times New Roman" w:hAnsi="Times New Roman" w:cs="Times New Roman"/>
          <w:b/>
          <w:sz w:val="24"/>
          <w:szCs w:val="24"/>
        </w:rPr>
        <w:t xml:space="preserve"> </w:t>
      </w:r>
      <w:r w:rsidRPr="000610BB">
        <w:rPr>
          <w:rFonts w:ascii="Times New Roman" w:hAnsi="Times New Roman" w:cs="Times New Roman"/>
          <w:sz w:val="24"/>
          <w:szCs w:val="24"/>
        </w:rPr>
        <w:t>Satış sözleşmesinde alıcının bedeli ödeme borcunda temerrüdünün şartları özel olarak düzenlenmiş olmayıp, bu konuda genel hükümler (TBK m. 117) uygulanır.</w:t>
      </w:r>
      <w:r>
        <w:rPr>
          <w:rFonts w:ascii="Times New Roman" w:hAnsi="Times New Roman" w:cs="Times New Roman"/>
          <w:sz w:val="24"/>
          <w:szCs w:val="24"/>
        </w:rPr>
        <w:t xml:space="preserve"> </w:t>
      </w:r>
      <w:r w:rsidRPr="000610BB">
        <w:rPr>
          <w:rFonts w:ascii="Times New Roman" w:hAnsi="Times New Roman" w:cs="Times New Roman"/>
          <w:sz w:val="24"/>
          <w:szCs w:val="24"/>
        </w:rPr>
        <w:t>Buna karşılık, temerrüdün sonuçlarından olan seçim hakkının şartları ve muhtevası (TBK m. 235) ile satıcının zararı</w:t>
      </w:r>
      <w:r w:rsidRPr="000610BB">
        <w:rPr>
          <w:rFonts w:ascii="Times New Roman" w:hAnsi="Times New Roman" w:cs="Times New Roman"/>
          <w:sz w:val="24"/>
          <w:szCs w:val="24"/>
        </w:rPr>
        <w:softHyphen/>
        <w:t>nın hesaplanması (TBK m. 236) bakımlarından özel hükümler sevk edilmiş bulunmaktadır.</w:t>
      </w:r>
    </w:p>
    <w:p w:rsidR="000610BB" w:rsidRPr="000610BB" w:rsidRDefault="000610BB" w:rsidP="000610BB">
      <w:pPr>
        <w:spacing w:before="100" w:beforeAutospacing="1" w:after="100" w:afterAutospacing="1" w:line="360" w:lineRule="auto"/>
        <w:jc w:val="both"/>
        <w:rPr>
          <w:rFonts w:ascii="Times New Roman" w:hAnsi="Times New Roman" w:cs="Times New Roman"/>
          <w:sz w:val="24"/>
          <w:szCs w:val="24"/>
        </w:rPr>
      </w:pPr>
      <w:r w:rsidRPr="000610BB">
        <w:rPr>
          <w:rFonts w:ascii="Times New Roman" w:hAnsi="Times New Roman" w:cs="Times New Roman"/>
          <w:sz w:val="24"/>
          <w:szCs w:val="24"/>
        </w:rPr>
        <w:t xml:space="preserve">TBK m. 235/I, alıcının temerrüdü halinde, satıcı sözleşmeden dönme hakkını kullanabilir. TBK m. 235/I anlamında dönme kullanmak isteyen satıcı, bunu derhal alıcıya bildirmek zorundadır. </w:t>
      </w:r>
    </w:p>
    <w:p w:rsidR="000610BB" w:rsidRPr="000610BB" w:rsidRDefault="000610BB" w:rsidP="000610BB">
      <w:pPr>
        <w:spacing w:before="100" w:beforeAutospacing="1" w:after="100" w:afterAutospacing="1" w:line="360" w:lineRule="auto"/>
        <w:jc w:val="both"/>
        <w:rPr>
          <w:rFonts w:ascii="Times New Roman" w:hAnsi="Times New Roman" w:cs="Times New Roman"/>
          <w:sz w:val="24"/>
          <w:szCs w:val="24"/>
        </w:rPr>
      </w:pPr>
      <w:r w:rsidRPr="000610BB">
        <w:rPr>
          <w:rFonts w:ascii="Times New Roman" w:hAnsi="Times New Roman" w:cs="Times New Roman"/>
          <w:sz w:val="24"/>
          <w:szCs w:val="24"/>
        </w:rPr>
        <w:t>TBK m. 235/III, satılanın bedelinin ödenmesinden önce alıcıya teslim edildiği veresiye (kredili) satışlarda, satıcının, ancak açıkça saklı tutulan hallerde sözleşmeden dönebileceğini öngörmektedir.</w:t>
      </w:r>
    </w:p>
    <w:p w:rsidR="000610BB" w:rsidRPr="000610BB" w:rsidRDefault="000610BB" w:rsidP="000610BB">
      <w:pPr>
        <w:spacing w:before="100" w:beforeAutospacing="1" w:after="100" w:afterAutospacing="1" w:line="360" w:lineRule="auto"/>
        <w:jc w:val="both"/>
        <w:rPr>
          <w:rFonts w:ascii="Times New Roman" w:hAnsi="Times New Roman" w:cs="Times New Roman"/>
          <w:sz w:val="24"/>
          <w:szCs w:val="24"/>
        </w:rPr>
      </w:pPr>
      <w:r w:rsidRPr="000610BB">
        <w:rPr>
          <w:rFonts w:ascii="Times New Roman" w:hAnsi="Times New Roman" w:cs="Times New Roman"/>
          <w:sz w:val="24"/>
          <w:szCs w:val="24"/>
        </w:rPr>
        <w:t>TBK m. 236, ticarî satışlarda alıcının bedeli ödeme borcunda temerrüdü üzerine, aynen ifadan vazgeçip olumlu zararının tazminini isteyen satıcının bu zararının, fark teorisi çerçevesinde soyut ve somut metodlara göre hesaplanmasını öngörmektedir. Satıcının sözleşmeden dönmesi halinde bu hüküm uygulanmaz.</w:t>
      </w:r>
    </w:p>
    <w:p w:rsidR="000610BB" w:rsidRPr="000610BB" w:rsidRDefault="000610BB" w:rsidP="000610BB">
      <w:pPr>
        <w:spacing w:before="100" w:beforeAutospacing="1" w:after="100" w:afterAutospacing="1" w:line="360" w:lineRule="auto"/>
        <w:jc w:val="both"/>
        <w:rPr>
          <w:rFonts w:ascii="Times New Roman" w:hAnsi="Times New Roman" w:cs="Times New Roman"/>
          <w:sz w:val="24"/>
          <w:szCs w:val="24"/>
        </w:rPr>
      </w:pPr>
      <w:r w:rsidRPr="00AB2D0F">
        <w:rPr>
          <w:rFonts w:ascii="Times New Roman" w:hAnsi="Times New Roman" w:cs="Times New Roman"/>
          <w:b/>
          <w:sz w:val="24"/>
          <w:szCs w:val="24"/>
        </w:rPr>
        <w:t>Satılanı devralma borcu:</w:t>
      </w:r>
      <w:r w:rsidRPr="000610BB">
        <w:rPr>
          <w:rFonts w:ascii="Times New Roman" w:hAnsi="Times New Roman" w:cs="Times New Roman"/>
          <w:sz w:val="24"/>
          <w:szCs w:val="24"/>
        </w:rPr>
        <w:t xml:space="preserve"> </w:t>
      </w:r>
      <w:r w:rsidRPr="000610BB">
        <w:rPr>
          <w:rFonts w:ascii="Times New Roman" w:eastAsia="Times New Roman" w:hAnsi="Times New Roman" w:cs="Times New Roman"/>
          <w:sz w:val="24"/>
          <w:szCs w:val="24"/>
          <w:lang w:eastAsia="tr-TR"/>
        </w:rPr>
        <w:t>TBK m. 232/I</w:t>
      </w:r>
      <w:r w:rsidRPr="000610BB">
        <w:rPr>
          <w:rFonts w:ascii="Times New Roman" w:eastAsia="Times New Roman" w:hAnsi="Times New Roman" w:cs="Times New Roman"/>
          <w:b/>
          <w:sz w:val="24"/>
          <w:szCs w:val="24"/>
          <w:lang w:eastAsia="tr-TR"/>
        </w:rPr>
        <w:t xml:space="preserve"> </w:t>
      </w:r>
      <w:r w:rsidRPr="000610BB">
        <w:rPr>
          <w:rFonts w:ascii="Times New Roman" w:eastAsia="Times New Roman" w:hAnsi="Times New Roman" w:cs="Times New Roman"/>
          <w:sz w:val="24"/>
          <w:szCs w:val="24"/>
          <w:lang w:eastAsia="tr-TR"/>
        </w:rPr>
        <w:t>'e göre, alıcı, kendisine kararlaştırılan şartlar dahilinde arz</w:t>
      </w:r>
      <w:r w:rsidRPr="000610BB">
        <w:rPr>
          <w:rFonts w:ascii="Times New Roman" w:eastAsia="Times New Roman" w:hAnsi="Times New Roman" w:cs="Times New Roman"/>
          <w:b/>
          <w:sz w:val="24"/>
          <w:szCs w:val="24"/>
          <w:lang w:eastAsia="tr-TR"/>
        </w:rPr>
        <w:t xml:space="preserve"> </w:t>
      </w:r>
      <w:r w:rsidRPr="000610BB">
        <w:rPr>
          <w:rFonts w:ascii="Times New Roman" w:eastAsia="Times New Roman" w:hAnsi="Times New Roman" w:cs="Times New Roman"/>
          <w:sz w:val="24"/>
          <w:szCs w:val="24"/>
          <w:lang w:eastAsia="tr-TR"/>
        </w:rPr>
        <w:t>edilen satılanı devralmakla yükümlüdür</w:t>
      </w:r>
      <w:r w:rsidRPr="000610BB">
        <w:rPr>
          <w:rFonts w:ascii="Times New Roman" w:eastAsia="Times New Roman" w:hAnsi="Times New Roman" w:cs="Times New Roman"/>
          <w:b/>
          <w:sz w:val="24"/>
          <w:szCs w:val="24"/>
          <w:lang w:eastAsia="tr-TR"/>
        </w:rPr>
        <w:t xml:space="preserve">. </w:t>
      </w:r>
      <w:r w:rsidRPr="000610BB">
        <w:rPr>
          <w:rFonts w:ascii="Times New Roman" w:hAnsi="Times New Roman" w:cs="Times New Roman"/>
          <w:sz w:val="24"/>
          <w:szCs w:val="24"/>
        </w:rPr>
        <w:t>Alıcının satılanı devralma borcunu yerine getirmemesi halinde, satıcı, alıcının temerrüdüne ilişkin hükümlere (TBK m. 107-109) başvurabilir; masrafı alıcıya ait olmak üzere satılan şeyi kaldırtabilir (TBK m. 113/I) veya borçlunun temerrüdüne ait hükümlere (TBK m. 123-125) başvurabil</w:t>
      </w:r>
      <w:bookmarkStart w:id="0" w:name="_GoBack"/>
      <w:bookmarkEnd w:id="0"/>
      <w:r w:rsidRPr="000610BB">
        <w:rPr>
          <w:rFonts w:ascii="Times New Roman" w:hAnsi="Times New Roman" w:cs="Times New Roman"/>
          <w:sz w:val="24"/>
          <w:szCs w:val="24"/>
        </w:rPr>
        <w:t xml:space="preserve">ir. </w:t>
      </w:r>
    </w:p>
    <w:p w:rsidR="000610BB" w:rsidRPr="000610BB" w:rsidRDefault="000610BB" w:rsidP="000610BB">
      <w:pPr>
        <w:pStyle w:val="Balk2"/>
        <w:spacing w:before="100" w:beforeAutospacing="1" w:after="100" w:afterAutospacing="1" w:line="360" w:lineRule="auto"/>
        <w:jc w:val="both"/>
        <w:rPr>
          <w:rFonts w:ascii="Times New Roman" w:hAnsi="Times New Roman" w:cs="Times New Roman"/>
          <w:color w:val="auto"/>
          <w:sz w:val="24"/>
          <w:szCs w:val="24"/>
        </w:rPr>
      </w:pPr>
      <w:r w:rsidRPr="00AB2D0F">
        <w:rPr>
          <w:rFonts w:ascii="Times New Roman" w:hAnsi="Times New Roman" w:cs="Times New Roman"/>
          <w:b/>
          <w:color w:val="auto"/>
          <w:sz w:val="24"/>
          <w:szCs w:val="24"/>
        </w:rPr>
        <w:t>Alıcının diğer yükümleri:</w:t>
      </w:r>
      <w:r w:rsidRPr="000610BB">
        <w:rPr>
          <w:rFonts w:ascii="Times New Roman" w:hAnsi="Times New Roman" w:cs="Times New Roman"/>
          <w:color w:val="auto"/>
          <w:sz w:val="24"/>
          <w:szCs w:val="24"/>
        </w:rPr>
        <w:t xml:space="preserve"> Aksine âdet veya sözleşme yoksa, senet yapmak ve satılanı devralmak için yapılan masrafları ödeme yükümü (TBK m. 211/I), ifaya hazırlık hareketlerine katılma yükümü, mesafe satışlarında satılanı muhafaza ve bozulacak şeylerin satımı (TBK m. 226) yükümü.  </w:t>
      </w:r>
    </w:p>
    <w:p w:rsidR="000610BB" w:rsidRPr="000610BB" w:rsidRDefault="000610BB" w:rsidP="000610BB">
      <w:pPr>
        <w:pStyle w:val="Balk2"/>
        <w:spacing w:before="100" w:beforeAutospacing="1" w:after="100" w:afterAutospacing="1" w:line="360" w:lineRule="auto"/>
        <w:jc w:val="both"/>
        <w:rPr>
          <w:rFonts w:ascii="Times New Roman" w:hAnsi="Times New Roman" w:cs="Times New Roman"/>
          <w:color w:val="auto"/>
          <w:sz w:val="24"/>
          <w:szCs w:val="24"/>
        </w:rPr>
      </w:pPr>
    </w:p>
    <w:p w:rsidR="00F15CAB" w:rsidRPr="000610BB" w:rsidRDefault="00F15CAB" w:rsidP="000610BB">
      <w:pPr>
        <w:spacing w:before="100" w:beforeAutospacing="1" w:after="100" w:afterAutospacing="1" w:line="360" w:lineRule="auto"/>
        <w:jc w:val="both"/>
        <w:rPr>
          <w:rFonts w:ascii="Times New Roman" w:hAnsi="Times New Roman" w:cs="Times New Roman"/>
          <w:sz w:val="24"/>
          <w:szCs w:val="24"/>
        </w:rPr>
      </w:pPr>
    </w:p>
    <w:sectPr w:rsidR="00F15CAB" w:rsidRPr="000610B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FC5" w:rsidRDefault="00890FC5" w:rsidP="004A09E2">
      <w:pPr>
        <w:spacing w:after="0" w:line="240" w:lineRule="auto"/>
      </w:pPr>
      <w:r>
        <w:separator/>
      </w:r>
    </w:p>
  </w:endnote>
  <w:endnote w:type="continuationSeparator" w:id="0">
    <w:p w:rsidR="00890FC5" w:rsidRDefault="00890FC5" w:rsidP="004A0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FC5" w:rsidRDefault="00890FC5" w:rsidP="004A09E2">
      <w:pPr>
        <w:spacing w:after="0" w:line="240" w:lineRule="auto"/>
      </w:pPr>
      <w:r>
        <w:separator/>
      </w:r>
    </w:p>
  </w:footnote>
  <w:footnote w:type="continuationSeparator" w:id="0">
    <w:p w:rsidR="00890FC5" w:rsidRDefault="00890FC5" w:rsidP="004A09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82"/>
    <w:rsid w:val="000610BB"/>
    <w:rsid w:val="00140C0E"/>
    <w:rsid w:val="0015376C"/>
    <w:rsid w:val="001B6F98"/>
    <w:rsid w:val="00273FCE"/>
    <w:rsid w:val="003100ED"/>
    <w:rsid w:val="00435680"/>
    <w:rsid w:val="004A09E2"/>
    <w:rsid w:val="005114C8"/>
    <w:rsid w:val="005D7F58"/>
    <w:rsid w:val="00687282"/>
    <w:rsid w:val="00797AE5"/>
    <w:rsid w:val="0087534C"/>
    <w:rsid w:val="00890FC5"/>
    <w:rsid w:val="00A04707"/>
    <w:rsid w:val="00AB2D0F"/>
    <w:rsid w:val="00B71A14"/>
    <w:rsid w:val="00E22091"/>
    <w:rsid w:val="00E24442"/>
    <w:rsid w:val="00E34E31"/>
    <w:rsid w:val="00E537F4"/>
    <w:rsid w:val="00F15C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58362-8EB4-463F-83F6-6EF62C36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FCE"/>
  </w:style>
  <w:style w:type="paragraph" w:styleId="Balk1">
    <w:name w:val="heading 1"/>
    <w:basedOn w:val="Normal"/>
    <w:next w:val="Normal"/>
    <w:link w:val="Balk1Char"/>
    <w:uiPriority w:val="9"/>
    <w:qFormat/>
    <w:rsid w:val="00797AE5"/>
    <w:pPr>
      <w:keepNext/>
      <w:spacing w:before="100" w:beforeAutospacing="1" w:after="100" w:afterAutospacing="1" w:line="360" w:lineRule="auto"/>
      <w:jc w:val="both"/>
      <w:outlineLvl w:val="0"/>
    </w:pPr>
    <w:rPr>
      <w:rFonts w:ascii="Times New Roman" w:hAnsi="Times New Roman" w:cs="Times New Roman"/>
      <w:b/>
      <w:sz w:val="24"/>
      <w:szCs w:val="24"/>
    </w:rPr>
  </w:style>
  <w:style w:type="paragraph" w:styleId="Balk2">
    <w:name w:val="heading 2"/>
    <w:basedOn w:val="Normal"/>
    <w:next w:val="Normal"/>
    <w:link w:val="Balk2Char"/>
    <w:uiPriority w:val="9"/>
    <w:semiHidden/>
    <w:unhideWhenUsed/>
    <w:qFormat/>
    <w:rsid w:val="001B6F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273FCE"/>
    <w:pPr>
      <w:keepNext/>
      <w:spacing w:after="0" w:line="240" w:lineRule="auto"/>
      <w:outlineLvl w:val="2"/>
    </w:pPr>
    <w:rPr>
      <w:rFonts w:cs="Times New Roman"/>
      <w:b/>
      <w:sz w:val="24"/>
      <w:szCs w:val="24"/>
    </w:rPr>
  </w:style>
  <w:style w:type="paragraph" w:styleId="Balk4">
    <w:name w:val="heading 4"/>
    <w:basedOn w:val="Normal"/>
    <w:next w:val="Normal"/>
    <w:link w:val="Balk4Char"/>
    <w:uiPriority w:val="9"/>
    <w:semiHidden/>
    <w:unhideWhenUsed/>
    <w:qFormat/>
    <w:rsid w:val="00E537F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E537F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73FCE"/>
    <w:rPr>
      <w:rFonts w:cs="Times New Roman"/>
      <w:b/>
      <w:sz w:val="24"/>
      <w:szCs w:val="24"/>
    </w:rPr>
  </w:style>
  <w:style w:type="paragraph" w:styleId="GvdeMetni">
    <w:name w:val="Body Text"/>
    <w:basedOn w:val="Normal"/>
    <w:link w:val="GvdeMetniChar"/>
    <w:uiPriority w:val="99"/>
    <w:unhideWhenUsed/>
    <w:rsid w:val="00273FCE"/>
    <w:pPr>
      <w:spacing w:before="100" w:beforeAutospacing="1" w:after="100" w:afterAutospacing="1" w:line="360" w:lineRule="auto"/>
      <w:jc w:val="both"/>
    </w:pPr>
    <w:rPr>
      <w:sz w:val="24"/>
      <w:szCs w:val="24"/>
    </w:rPr>
  </w:style>
  <w:style w:type="character" w:customStyle="1" w:styleId="GvdeMetniChar">
    <w:name w:val="Gövde Metni Char"/>
    <w:basedOn w:val="VarsaylanParagrafYazTipi"/>
    <w:link w:val="GvdeMetni"/>
    <w:uiPriority w:val="99"/>
    <w:rsid w:val="00273FCE"/>
    <w:rPr>
      <w:sz w:val="24"/>
      <w:szCs w:val="24"/>
    </w:rPr>
  </w:style>
  <w:style w:type="character" w:customStyle="1" w:styleId="Balk2Char">
    <w:name w:val="Başlık 2 Char"/>
    <w:basedOn w:val="VarsaylanParagrafYazTipi"/>
    <w:link w:val="Balk2"/>
    <w:uiPriority w:val="9"/>
    <w:semiHidden/>
    <w:rsid w:val="001B6F98"/>
    <w:rPr>
      <w:rFonts w:asciiTheme="majorHAnsi" w:eastAsiaTheme="majorEastAsia" w:hAnsiTheme="majorHAnsi" w:cstheme="majorBidi"/>
      <w:color w:val="2E74B5" w:themeColor="accent1" w:themeShade="BF"/>
      <w:sz w:val="26"/>
      <w:szCs w:val="26"/>
    </w:rPr>
  </w:style>
  <w:style w:type="table" w:styleId="TabloKlavuzu">
    <w:name w:val="Table Grid"/>
    <w:basedOn w:val="NormalTablo"/>
    <w:uiPriority w:val="39"/>
    <w:rsid w:val="001B6F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2">
    <w:name w:val="Body Text 2"/>
    <w:basedOn w:val="Normal"/>
    <w:link w:val="GvdeMetni2Char"/>
    <w:uiPriority w:val="99"/>
    <w:unhideWhenUsed/>
    <w:rsid w:val="001B6F98"/>
    <w:pPr>
      <w:spacing w:before="100" w:beforeAutospacing="1" w:after="100" w:afterAutospacing="1" w:line="360" w:lineRule="auto"/>
    </w:pPr>
    <w:rPr>
      <w:rFonts w:ascii="Calibri" w:hAnsi="Calibri" w:cs="Times New Roman"/>
      <w:sz w:val="24"/>
      <w:szCs w:val="24"/>
    </w:rPr>
  </w:style>
  <w:style w:type="character" w:customStyle="1" w:styleId="GvdeMetni2Char">
    <w:name w:val="Gövde Metni 2 Char"/>
    <w:basedOn w:val="VarsaylanParagrafYazTipi"/>
    <w:link w:val="GvdeMetni2"/>
    <w:uiPriority w:val="99"/>
    <w:rsid w:val="001B6F98"/>
    <w:rPr>
      <w:rFonts w:ascii="Calibri" w:hAnsi="Calibri" w:cs="Times New Roman"/>
      <w:sz w:val="24"/>
      <w:szCs w:val="24"/>
    </w:rPr>
  </w:style>
  <w:style w:type="paragraph" w:styleId="DipnotMetni">
    <w:name w:val="footnote text"/>
    <w:basedOn w:val="Normal"/>
    <w:link w:val="DipnotMetniChar"/>
    <w:semiHidden/>
    <w:rsid w:val="004A09E2"/>
    <w:pPr>
      <w:spacing w:before="20" w:after="20" w:line="240" w:lineRule="auto"/>
      <w:ind w:left="340" w:hanging="340"/>
      <w:jc w:val="both"/>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4A09E2"/>
    <w:rPr>
      <w:rFonts w:ascii="Times New Roman" w:eastAsia="Times New Roman" w:hAnsi="Times New Roman" w:cs="Times New Roman"/>
      <w:sz w:val="20"/>
      <w:szCs w:val="20"/>
      <w:lang w:eastAsia="tr-TR"/>
    </w:rPr>
  </w:style>
  <w:style w:type="character" w:styleId="DipnotBavurusu">
    <w:name w:val="footnote reference"/>
    <w:basedOn w:val="VarsaylanParagrafYazTipi"/>
    <w:semiHidden/>
    <w:rsid w:val="004A09E2"/>
    <w:rPr>
      <w:vertAlign w:val="superscript"/>
    </w:rPr>
  </w:style>
  <w:style w:type="character" w:customStyle="1" w:styleId="Balk4Char">
    <w:name w:val="Başlık 4 Char"/>
    <w:basedOn w:val="VarsaylanParagrafYazTipi"/>
    <w:link w:val="Balk4"/>
    <w:uiPriority w:val="9"/>
    <w:semiHidden/>
    <w:rsid w:val="00E537F4"/>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semiHidden/>
    <w:rsid w:val="00E537F4"/>
    <w:rPr>
      <w:rFonts w:asciiTheme="majorHAnsi" w:eastAsiaTheme="majorEastAsia" w:hAnsiTheme="majorHAnsi" w:cstheme="majorBidi"/>
      <w:color w:val="2E74B5" w:themeColor="accent1" w:themeShade="BF"/>
    </w:rPr>
  </w:style>
  <w:style w:type="character" w:customStyle="1" w:styleId="Balk1Char">
    <w:name w:val="Başlık 1 Char"/>
    <w:basedOn w:val="VarsaylanParagrafYazTipi"/>
    <w:link w:val="Balk1"/>
    <w:uiPriority w:val="9"/>
    <w:rsid w:val="00797AE5"/>
    <w:rPr>
      <w:rFonts w:ascii="Times New Roman" w:hAnsi="Times New Roman" w:cs="Times New Roman"/>
      <w:b/>
      <w:sz w:val="24"/>
      <w:szCs w:val="24"/>
    </w:rPr>
  </w:style>
  <w:style w:type="paragraph" w:customStyle="1" w:styleId="5pt">
    <w:name w:val="5 pt"/>
    <w:basedOn w:val="Normal"/>
    <w:rsid w:val="00E34E31"/>
    <w:pPr>
      <w:spacing w:after="0" w:line="240" w:lineRule="auto"/>
      <w:ind w:firstLine="340"/>
      <w:jc w:val="both"/>
    </w:pPr>
    <w:rPr>
      <w:rFonts w:ascii="Times New Roman" w:eastAsia="Times New Roman" w:hAnsi="Times New Roman" w:cs="Times New Roman"/>
      <w:sz w:val="1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1630</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duygu</dc:creator>
  <cp:keywords/>
  <dc:description/>
  <cp:lastModifiedBy>DuyguAtalay</cp:lastModifiedBy>
  <cp:revision>2</cp:revision>
  <dcterms:created xsi:type="dcterms:W3CDTF">2018-01-04T08:50:00Z</dcterms:created>
  <dcterms:modified xsi:type="dcterms:W3CDTF">2018-01-04T08:50:00Z</dcterms:modified>
</cp:coreProperties>
</file>