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6D" w:rsidRPr="00173F6D" w:rsidRDefault="00DA373C" w:rsidP="00DA373C">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SATIŞIN DİĞER TÜRLERİ</w:t>
      </w:r>
    </w:p>
    <w:p w:rsidR="00173F6D" w:rsidRPr="00173F6D" w:rsidRDefault="00173F6D" w:rsidP="00DA373C">
      <w:pPr>
        <w:spacing w:before="100" w:beforeAutospacing="1" w:after="100" w:afterAutospacing="1" w:line="360" w:lineRule="auto"/>
        <w:jc w:val="both"/>
        <w:rPr>
          <w:rFonts w:ascii="Times New Roman" w:hAnsi="Times New Roman" w:cs="Times New Roman"/>
          <w:sz w:val="24"/>
          <w:szCs w:val="24"/>
        </w:rPr>
      </w:pPr>
      <w:r w:rsidRPr="00173F6D">
        <w:rPr>
          <w:rFonts w:ascii="Times New Roman" w:hAnsi="Times New Roman" w:cs="Times New Roman"/>
          <w:b/>
          <w:sz w:val="24"/>
          <w:szCs w:val="24"/>
        </w:rPr>
        <w:t xml:space="preserve">Açık arttırma yoluyla satış: </w:t>
      </w:r>
      <w:r w:rsidRPr="00173F6D">
        <w:rPr>
          <w:rFonts w:ascii="Times New Roman" w:hAnsi="Times New Roman" w:cs="Times New Roman"/>
          <w:sz w:val="24"/>
          <w:szCs w:val="24"/>
        </w:rPr>
        <w:t>TBK m. 274’e göre, açık artırma yoluyla satış, yeri, zamanı ve koşulları önceden belirlenerek, hazır olanlar arasından en yüksek bedeli öneren ile yapılan satıştır.</w:t>
      </w:r>
    </w:p>
    <w:p w:rsidR="00173F6D" w:rsidRPr="00173F6D" w:rsidRDefault="00173F6D" w:rsidP="00DA373C">
      <w:pPr>
        <w:spacing w:before="100" w:beforeAutospacing="1" w:after="100" w:afterAutospacing="1" w:line="360" w:lineRule="auto"/>
        <w:jc w:val="both"/>
        <w:rPr>
          <w:rFonts w:ascii="Times New Roman" w:hAnsi="Times New Roman" w:cs="Times New Roman"/>
          <w:sz w:val="24"/>
          <w:szCs w:val="24"/>
        </w:rPr>
      </w:pPr>
      <w:r w:rsidRPr="00173F6D">
        <w:rPr>
          <w:rFonts w:ascii="Times New Roman" w:hAnsi="Times New Roman" w:cs="Times New Roman"/>
          <w:sz w:val="24"/>
          <w:szCs w:val="24"/>
        </w:rPr>
        <w:t>Herkesin katılabildiği isteğe bağlı açık arttırmalarda satış sözleşmesi, satıcı arttırma koşullarında aksine bir beyanda bulunmadıkça, arttırmayı yönetenin en yüksek bedeli öneren kişiye ihale etmesiyle kurulmuş olur.</w:t>
      </w:r>
    </w:p>
    <w:p w:rsidR="00173F6D" w:rsidRPr="00173F6D" w:rsidRDefault="00173F6D" w:rsidP="00DA373C">
      <w:pPr>
        <w:tabs>
          <w:tab w:val="left" w:pos="4395"/>
        </w:tabs>
        <w:spacing w:before="100" w:beforeAutospacing="1" w:after="100" w:afterAutospacing="1" w:line="360" w:lineRule="auto"/>
        <w:jc w:val="both"/>
        <w:rPr>
          <w:rFonts w:ascii="Times New Roman" w:hAnsi="Times New Roman" w:cs="Times New Roman"/>
          <w:b/>
          <w:sz w:val="24"/>
          <w:szCs w:val="24"/>
        </w:rPr>
      </w:pPr>
      <w:r w:rsidRPr="00173F6D">
        <w:rPr>
          <w:rFonts w:ascii="Times New Roman" w:hAnsi="Times New Roman" w:cs="Times New Roman"/>
          <w:sz w:val="24"/>
          <w:szCs w:val="24"/>
        </w:rPr>
        <w:t>Cebri arttırma yoluyla satış, arttırmayı yöneten memurun en yüksek bedeli öneren kişiye ihale etmesiyle kurulmuş olur.</w:t>
      </w:r>
    </w:p>
    <w:p w:rsidR="00173F6D" w:rsidRPr="00173F6D" w:rsidRDefault="00173F6D" w:rsidP="00DA373C">
      <w:pPr>
        <w:spacing w:before="100" w:beforeAutospacing="1" w:after="100" w:afterAutospacing="1" w:line="360" w:lineRule="auto"/>
        <w:jc w:val="both"/>
        <w:rPr>
          <w:rFonts w:ascii="Times New Roman" w:hAnsi="Times New Roman" w:cs="Times New Roman"/>
          <w:sz w:val="24"/>
          <w:szCs w:val="24"/>
        </w:rPr>
      </w:pPr>
      <w:r w:rsidRPr="00173F6D">
        <w:rPr>
          <w:rFonts w:ascii="Times New Roman" w:hAnsi="Times New Roman" w:cs="Times New Roman"/>
          <w:sz w:val="24"/>
          <w:szCs w:val="24"/>
        </w:rPr>
        <w:t>Aksine bir koşul yoksa öneride bulunanın bağlılığı, kendisinden daha yüksek bir öneri yapılmasıyla sona erer veya daha yüksek öneri olup olmadığının sorulması üzerine böyle bir önerinin olmadığının anlaşılması hâlinde, önerisinin hemen kabul edilmemesiyle ortadan kalkar.</w:t>
      </w:r>
    </w:p>
    <w:p w:rsidR="00173F6D" w:rsidRPr="00173F6D" w:rsidRDefault="00173F6D" w:rsidP="00DA373C">
      <w:pPr>
        <w:spacing w:before="100" w:beforeAutospacing="1" w:after="100" w:afterAutospacing="1" w:line="360" w:lineRule="auto"/>
        <w:jc w:val="both"/>
        <w:rPr>
          <w:rFonts w:ascii="Times New Roman" w:hAnsi="Times New Roman" w:cs="Times New Roman"/>
          <w:sz w:val="24"/>
          <w:szCs w:val="24"/>
        </w:rPr>
      </w:pPr>
      <w:r w:rsidRPr="00173F6D">
        <w:rPr>
          <w:rFonts w:ascii="Times New Roman" w:hAnsi="Times New Roman" w:cs="Times New Roman"/>
          <w:sz w:val="24"/>
          <w:szCs w:val="24"/>
        </w:rPr>
        <w:t>Taşınmazın açık artırma yoluyla satışında, ihalenin veya reddinin artırmadan hemen sonra yapılması gerekir.</w:t>
      </w:r>
    </w:p>
    <w:p w:rsidR="00173F6D" w:rsidRPr="00173F6D" w:rsidRDefault="00173F6D" w:rsidP="00DA373C">
      <w:pPr>
        <w:tabs>
          <w:tab w:val="left" w:pos="4395"/>
        </w:tabs>
        <w:spacing w:before="100" w:beforeAutospacing="1" w:after="100" w:afterAutospacing="1" w:line="360" w:lineRule="auto"/>
        <w:jc w:val="both"/>
        <w:rPr>
          <w:rFonts w:ascii="Times New Roman" w:hAnsi="Times New Roman" w:cs="Times New Roman"/>
          <w:sz w:val="24"/>
          <w:szCs w:val="24"/>
        </w:rPr>
      </w:pPr>
      <w:r w:rsidRPr="00173F6D">
        <w:rPr>
          <w:rFonts w:ascii="Times New Roman" w:hAnsi="Times New Roman" w:cs="Times New Roman"/>
          <w:sz w:val="24"/>
          <w:szCs w:val="24"/>
        </w:rPr>
        <w:t>Artırma koşullarında aksi kararlaştırılmamışsa, ihale bedelinin peşin ödenmesi gerekir.</w:t>
      </w:r>
    </w:p>
    <w:p w:rsidR="00173F6D" w:rsidRPr="00173F6D" w:rsidRDefault="00173F6D" w:rsidP="00DA373C">
      <w:pPr>
        <w:tabs>
          <w:tab w:val="left" w:pos="4395"/>
        </w:tabs>
        <w:spacing w:before="100" w:beforeAutospacing="1" w:after="100" w:afterAutospacing="1" w:line="360" w:lineRule="auto"/>
        <w:jc w:val="both"/>
        <w:rPr>
          <w:rFonts w:ascii="Times New Roman" w:hAnsi="Times New Roman" w:cs="Times New Roman"/>
          <w:sz w:val="24"/>
          <w:szCs w:val="24"/>
        </w:rPr>
      </w:pPr>
      <w:r w:rsidRPr="00173F6D">
        <w:rPr>
          <w:rFonts w:ascii="Times New Roman" w:hAnsi="Times New Roman" w:cs="Times New Roman"/>
          <w:sz w:val="24"/>
          <w:szCs w:val="24"/>
        </w:rPr>
        <w:t>İsteğe bağlı açık arttırmayla satışta, taşınır mal alan kişi mülkiyeti zilyetliğin geçirilmesine gerek olmadan ihale anında kazanır. Arttırmadan alınan taşınmazın mülkiyeti ise, tapu siciline tescil ile alıcıya geçer.</w:t>
      </w:r>
    </w:p>
    <w:p w:rsidR="00173F6D" w:rsidRPr="00173F6D" w:rsidRDefault="00173F6D" w:rsidP="00DA373C">
      <w:pPr>
        <w:spacing w:before="100" w:beforeAutospacing="1" w:after="100" w:afterAutospacing="1" w:line="360" w:lineRule="auto"/>
        <w:jc w:val="both"/>
        <w:rPr>
          <w:rFonts w:ascii="Times New Roman" w:hAnsi="Times New Roman" w:cs="Times New Roman"/>
          <w:sz w:val="24"/>
          <w:szCs w:val="24"/>
        </w:rPr>
      </w:pPr>
      <w:r w:rsidRPr="00173F6D">
        <w:rPr>
          <w:rFonts w:ascii="Times New Roman" w:hAnsi="Times New Roman" w:cs="Times New Roman"/>
          <w:sz w:val="24"/>
          <w:szCs w:val="24"/>
        </w:rPr>
        <w:t>Cebrî artırmada, gerek taşınırlarda, gerek taşınmazlarda mülkiyet ihale ile geçer; taşınmazlarda tapuya tescil kurucu değil, bildirici niteliktedir (MK m. 704/I). Ayrıca bak: TBK m. 279/III.</w:t>
      </w:r>
    </w:p>
    <w:p w:rsidR="00173F6D" w:rsidRPr="00173F6D" w:rsidRDefault="00173F6D" w:rsidP="00DA373C">
      <w:pPr>
        <w:tabs>
          <w:tab w:val="left" w:pos="4395"/>
        </w:tabs>
        <w:spacing w:before="100" w:beforeAutospacing="1" w:after="100" w:afterAutospacing="1" w:line="360" w:lineRule="auto"/>
        <w:jc w:val="both"/>
        <w:rPr>
          <w:rFonts w:ascii="Times New Roman" w:hAnsi="Times New Roman" w:cs="Times New Roman"/>
          <w:sz w:val="24"/>
          <w:szCs w:val="24"/>
        </w:rPr>
      </w:pPr>
      <w:r w:rsidRPr="00173F6D">
        <w:rPr>
          <w:rFonts w:ascii="Times New Roman" w:hAnsi="Times New Roman" w:cs="Times New Roman"/>
          <w:sz w:val="24"/>
          <w:szCs w:val="24"/>
        </w:rPr>
        <w:t>İsteğe bağlı özel artırmalarda, mülkiyet, taşınırlarda teslimle; ta</w:t>
      </w:r>
      <w:r w:rsidRPr="00173F6D">
        <w:rPr>
          <w:rFonts w:ascii="Times New Roman" w:hAnsi="Times New Roman" w:cs="Times New Roman"/>
          <w:sz w:val="24"/>
          <w:szCs w:val="24"/>
        </w:rPr>
        <w:softHyphen/>
        <w:t>şın</w:t>
      </w:r>
      <w:r w:rsidRPr="00173F6D">
        <w:rPr>
          <w:rFonts w:ascii="Times New Roman" w:hAnsi="Times New Roman" w:cs="Times New Roman"/>
          <w:sz w:val="24"/>
          <w:szCs w:val="24"/>
        </w:rPr>
        <w:softHyphen/>
        <w:t>maz</w:t>
      </w:r>
      <w:r w:rsidRPr="00173F6D">
        <w:rPr>
          <w:rFonts w:ascii="Times New Roman" w:hAnsi="Times New Roman" w:cs="Times New Roman"/>
          <w:sz w:val="24"/>
          <w:szCs w:val="24"/>
        </w:rPr>
        <w:softHyphen/>
        <w:t>larda tapu sicil müdürlüğünce düzenlenen resmî senede dayanarak yapılan tescille geçer.</w:t>
      </w:r>
    </w:p>
    <w:p w:rsidR="00173F6D" w:rsidRPr="00173F6D" w:rsidRDefault="00173F6D" w:rsidP="00DA373C">
      <w:pPr>
        <w:tabs>
          <w:tab w:val="left" w:pos="4395"/>
        </w:tabs>
        <w:spacing w:before="100" w:beforeAutospacing="1" w:after="100" w:afterAutospacing="1" w:line="360" w:lineRule="auto"/>
        <w:jc w:val="both"/>
        <w:rPr>
          <w:rFonts w:ascii="Times New Roman" w:hAnsi="Times New Roman" w:cs="Times New Roman"/>
          <w:sz w:val="24"/>
          <w:szCs w:val="24"/>
        </w:rPr>
      </w:pPr>
      <w:r w:rsidRPr="00173F6D">
        <w:rPr>
          <w:rFonts w:ascii="Times New Roman" w:hAnsi="Times New Roman" w:cs="Times New Roman"/>
          <w:sz w:val="24"/>
          <w:szCs w:val="24"/>
        </w:rPr>
        <w:t>Cebri arttırmalarda artırmadan mal alan kişi, o mala, tapu siciline veya satış koşullarına ya da kanuna göre belirli olan durumu, hakları ve yükleri ile birlikte malik olur (f. II).</w:t>
      </w:r>
      <w:bookmarkStart w:id="0" w:name="_GoBack"/>
      <w:bookmarkEnd w:id="0"/>
    </w:p>
    <w:p w:rsidR="00173F6D" w:rsidRDefault="00173F6D" w:rsidP="00DA373C">
      <w:pPr>
        <w:tabs>
          <w:tab w:val="left" w:pos="4395"/>
        </w:tabs>
        <w:spacing w:before="100" w:beforeAutospacing="1" w:after="100" w:afterAutospacing="1" w:line="360" w:lineRule="auto"/>
        <w:jc w:val="both"/>
        <w:rPr>
          <w:rFonts w:ascii="Times New Roman" w:hAnsi="Times New Roman" w:cs="Times New Roman"/>
          <w:sz w:val="24"/>
          <w:szCs w:val="24"/>
        </w:rPr>
      </w:pPr>
      <w:r w:rsidRPr="00173F6D">
        <w:rPr>
          <w:rFonts w:ascii="Times New Roman" w:hAnsi="Times New Roman" w:cs="Times New Roman"/>
          <w:sz w:val="24"/>
          <w:szCs w:val="24"/>
        </w:rPr>
        <w:t>İsteğe bağlı açık arttırmalarda satıcı, satılanın zaptından ve ayıplarından sorumludur.</w:t>
      </w:r>
    </w:p>
    <w:p w:rsidR="00DA373C" w:rsidRPr="00173F6D" w:rsidRDefault="00DA373C" w:rsidP="00DA373C">
      <w:pPr>
        <w:tabs>
          <w:tab w:val="left" w:pos="4395"/>
        </w:tabs>
        <w:spacing w:before="100" w:beforeAutospacing="1" w:after="100" w:afterAutospacing="1" w:line="360" w:lineRule="auto"/>
        <w:jc w:val="both"/>
        <w:rPr>
          <w:rFonts w:ascii="Times New Roman" w:hAnsi="Times New Roman" w:cs="Times New Roman"/>
          <w:sz w:val="24"/>
          <w:szCs w:val="24"/>
        </w:rPr>
      </w:pPr>
    </w:p>
    <w:sectPr w:rsidR="00DA373C" w:rsidRPr="00173F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C5" w:rsidRDefault="00890FC5" w:rsidP="004A09E2">
      <w:pPr>
        <w:spacing w:after="0" w:line="240" w:lineRule="auto"/>
      </w:pPr>
      <w:r>
        <w:separator/>
      </w:r>
    </w:p>
  </w:endnote>
  <w:endnote w:type="continuationSeparator" w:id="0">
    <w:p w:rsidR="00890FC5" w:rsidRDefault="00890FC5"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C5" w:rsidRDefault="00890FC5" w:rsidP="004A09E2">
      <w:pPr>
        <w:spacing w:after="0" w:line="240" w:lineRule="auto"/>
      </w:pPr>
      <w:r>
        <w:separator/>
      </w:r>
    </w:p>
  </w:footnote>
  <w:footnote w:type="continuationSeparator" w:id="0">
    <w:p w:rsidR="00890FC5" w:rsidRDefault="00890FC5"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610BB"/>
    <w:rsid w:val="00140C0E"/>
    <w:rsid w:val="0015376C"/>
    <w:rsid w:val="00173F6D"/>
    <w:rsid w:val="001B6F98"/>
    <w:rsid w:val="00273FCE"/>
    <w:rsid w:val="002945AB"/>
    <w:rsid w:val="003100ED"/>
    <w:rsid w:val="00435680"/>
    <w:rsid w:val="004A09E2"/>
    <w:rsid w:val="005114C8"/>
    <w:rsid w:val="005D7F58"/>
    <w:rsid w:val="00687282"/>
    <w:rsid w:val="00797AE5"/>
    <w:rsid w:val="0087534C"/>
    <w:rsid w:val="00890FC5"/>
    <w:rsid w:val="00A04707"/>
    <w:rsid w:val="00AB2D0F"/>
    <w:rsid w:val="00B71A14"/>
    <w:rsid w:val="00DA373C"/>
    <w:rsid w:val="00E22091"/>
    <w:rsid w:val="00E24442"/>
    <w:rsid w:val="00E34E31"/>
    <w:rsid w:val="00E35B96"/>
    <w:rsid w:val="00E537F4"/>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3</cp:revision>
  <dcterms:created xsi:type="dcterms:W3CDTF">2018-01-04T09:04:00Z</dcterms:created>
  <dcterms:modified xsi:type="dcterms:W3CDTF">2018-01-10T01:07:00Z</dcterms:modified>
</cp:coreProperties>
</file>