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73F" w:rsidRPr="00DB0105" w:rsidRDefault="00FD173F" w:rsidP="00FD173F">
      <w:pPr>
        <w:pStyle w:val="Balk6"/>
        <w:spacing w:before="100" w:beforeAutospacing="1" w:after="100" w:afterAutospacing="1" w:line="360" w:lineRule="auto"/>
        <w:jc w:val="both"/>
        <w:rPr>
          <w:rFonts w:ascii="Times New Roman" w:hAnsi="Times New Roman" w:cs="Times New Roman"/>
          <w:b/>
          <w:color w:val="auto"/>
          <w:sz w:val="24"/>
          <w:szCs w:val="24"/>
        </w:rPr>
      </w:pPr>
      <w:r w:rsidRPr="00DB0105">
        <w:rPr>
          <w:rFonts w:ascii="Times New Roman" w:hAnsi="Times New Roman" w:cs="Times New Roman"/>
          <w:b/>
          <w:color w:val="auto"/>
          <w:sz w:val="24"/>
          <w:szCs w:val="24"/>
        </w:rPr>
        <w:t>KULLANIM ÖDÜNCÜ (ÂRİYET) SÖZLEŞMESİ</w:t>
      </w:r>
    </w:p>
    <w:p w:rsidR="00FD173F" w:rsidRPr="00DB0105" w:rsidRDefault="00FD173F" w:rsidP="00FD173F">
      <w:pPr>
        <w:spacing w:before="100" w:beforeAutospacing="1" w:after="100" w:afterAutospacing="1" w:line="360" w:lineRule="auto"/>
        <w:jc w:val="both"/>
        <w:rPr>
          <w:rFonts w:ascii="Times New Roman" w:hAnsi="Times New Roman" w:cs="Times New Roman"/>
          <w:sz w:val="24"/>
          <w:szCs w:val="24"/>
        </w:rPr>
      </w:pPr>
      <w:r w:rsidRPr="00DB0105">
        <w:rPr>
          <w:rFonts w:ascii="Times New Roman" w:eastAsia="Times New Roman" w:hAnsi="Times New Roman" w:cs="Times New Roman"/>
          <w:sz w:val="24"/>
          <w:szCs w:val="24"/>
          <w:lang w:eastAsia="tr-TR"/>
        </w:rPr>
        <w:t>Kullanım ödüncü (âriyet) sözleşmesi, bir şeyin kullanılmasının belirli bir süreyle başkasına karşılıksız olarak devri borcunu doğuran bir sözleşmedir</w:t>
      </w:r>
      <w:r w:rsidRPr="00DB0105">
        <w:rPr>
          <w:rFonts w:ascii="Times New Roman" w:eastAsia="Times New Roman" w:hAnsi="Times New Roman" w:cs="Times New Roman"/>
          <w:b/>
          <w:sz w:val="24"/>
          <w:szCs w:val="24"/>
          <w:lang w:eastAsia="tr-TR"/>
        </w:rPr>
        <w:t xml:space="preserve">. </w:t>
      </w:r>
      <w:r w:rsidRPr="00DB0105">
        <w:rPr>
          <w:rFonts w:ascii="Times New Roman" w:hAnsi="Times New Roman" w:cs="Times New Roman"/>
          <w:sz w:val="24"/>
          <w:szCs w:val="24"/>
        </w:rPr>
        <w:t>Kullanım ödüncü sözleşmesi rızaî bir sözleşmedir. Kullanım ödüncü sözleşmesi karşılıksız ve eksik iki tarafa borç yükleyen sözleşmedir. Diğer taraftan, kullanım ödüncü sözleşmesi devamlı borç ilişkisine vücut verir; kullanım ödüncü verenin edimi belirli bir zamana yayılmıştır.</w:t>
      </w:r>
    </w:p>
    <w:p w:rsidR="00FD173F" w:rsidRPr="00DB0105" w:rsidRDefault="00FD173F" w:rsidP="00FD173F">
      <w:pPr>
        <w:spacing w:before="100" w:beforeAutospacing="1" w:after="100" w:afterAutospacing="1" w:line="360" w:lineRule="auto"/>
        <w:jc w:val="both"/>
        <w:rPr>
          <w:rFonts w:ascii="Times New Roman" w:hAnsi="Times New Roman" w:cs="Times New Roman"/>
          <w:sz w:val="24"/>
          <w:szCs w:val="24"/>
        </w:rPr>
      </w:pPr>
      <w:r w:rsidRPr="00DB0105">
        <w:rPr>
          <w:rFonts w:ascii="Times New Roman" w:hAnsi="Times New Roman" w:cs="Times New Roman"/>
          <w:sz w:val="24"/>
          <w:szCs w:val="24"/>
        </w:rPr>
        <w:t>Kullanım ödüncü sözleşmesi, kirada olduğu gibi, bir şeyin kullanılmasının devri borcunu doğuran bir sözleşmedir. Bu sözleşmenin konusunu, ha</w:t>
      </w:r>
      <w:r w:rsidRPr="00DB0105">
        <w:rPr>
          <w:rFonts w:ascii="Times New Roman" w:hAnsi="Times New Roman" w:cs="Times New Roman"/>
          <w:sz w:val="24"/>
          <w:szCs w:val="24"/>
        </w:rPr>
        <w:softHyphen/>
        <w:t>sılat getirsin veya getirmesin, her türlü taşınır veya taşınmaz şey</w:t>
      </w:r>
      <w:r w:rsidRPr="00DB0105">
        <w:rPr>
          <w:rFonts w:ascii="Times New Roman" w:hAnsi="Times New Roman" w:cs="Times New Roman"/>
          <w:sz w:val="24"/>
          <w:szCs w:val="24"/>
        </w:rPr>
        <w:softHyphen/>
        <w:t>ler teş</w:t>
      </w:r>
      <w:r w:rsidRPr="00DB0105">
        <w:rPr>
          <w:rFonts w:ascii="Times New Roman" w:hAnsi="Times New Roman" w:cs="Times New Roman"/>
          <w:sz w:val="24"/>
          <w:szCs w:val="24"/>
        </w:rPr>
        <w:softHyphen/>
        <w:t>kil eder. Kullanım ödüncü sözleşmesi, esas itibariyle, kullanım ödüncü alanın menfaatine kurulan bir sözleşme</w:t>
      </w:r>
      <w:r w:rsidRPr="00DB0105">
        <w:rPr>
          <w:rFonts w:ascii="Times New Roman" w:hAnsi="Times New Roman" w:cs="Times New Roman"/>
          <w:sz w:val="24"/>
          <w:szCs w:val="24"/>
        </w:rPr>
        <w:softHyphen/>
        <w:t>dir.</w:t>
      </w:r>
    </w:p>
    <w:p w:rsidR="00FD173F" w:rsidRPr="00DB0105" w:rsidRDefault="00FD173F" w:rsidP="00FD173F">
      <w:pPr>
        <w:pStyle w:val="Balk3"/>
        <w:spacing w:before="100" w:beforeAutospacing="1" w:after="100" w:afterAutospacing="1" w:line="360" w:lineRule="auto"/>
        <w:jc w:val="both"/>
        <w:rPr>
          <w:rFonts w:ascii="Times New Roman" w:hAnsi="Times New Roman"/>
        </w:rPr>
      </w:pPr>
      <w:r w:rsidRPr="00DB0105">
        <w:rPr>
          <w:rFonts w:ascii="Times New Roman" w:hAnsi="Times New Roman"/>
        </w:rPr>
        <w:t>Ödünç verenin borçları</w:t>
      </w:r>
    </w:p>
    <w:p w:rsidR="00FD173F" w:rsidRPr="00DB0105" w:rsidRDefault="00FD173F" w:rsidP="00FD173F">
      <w:pPr>
        <w:spacing w:before="100" w:beforeAutospacing="1" w:after="100" w:afterAutospacing="1" w:line="360" w:lineRule="auto"/>
        <w:jc w:val="both"/>
        <w:rPr>
          <w:rFonts w:ascii="Times New Roman" w:hAnsi="Times New Roman" w:cs="Times New Roman"/>
          <w:sz w:val="24"/>
          <w:szCs w:val="24"/>
        </w:rPr>
      </w:pPr>
      <w:r w:rsidRPr="00DB0105">
        <w:rPr>
          <w:rFonts w:ascii="Times New Roman" w:hAnsi="Times New Roman" w:cs="Times New Roman"/>
          <w:sz w:val="24"/>
          <w:szCs w:val="24"/>
        </w:rPr>
        <w:t xml:space="preserve">Ödünç verenin en önemli borcu, kullanılmak üzere kullanım ödüncü konusu şeyi kullanım ödüncü alana teslimdir. Kullanım ödüncü veren, kullanım ödüncü alanın sözleşme konusu şey için yaptığı olağanüstü masrafları ona tazmin etmekle yükümlüdür. </w:t>
      </w:r>
    </w:p>
    <w:p w:rsidR="00FD173F" w:rsidRPr="00DB0105" w:rsidRDefault="00FD173F" w:rsidP="00FD173F">
      <w:pPr>
        <w:pStyle w:val="Balk3"/>
        <w:spacing w:before="100" w:beforeAutospacing="1" w:after="100" w:afterAutospacing="1" w:line="360" w:lineRule="auto"/>
        <w:jc w:val="both"/>
        <w:rPr>
          <w:rFonts w:ascii="Times New Roman" w:hAnsi="Times New Roman"/>
        </w:rPr>
      </w:pPr>
      <w:r w:rsidRPr="00DB0105">
        <w:rPr>
          <w:rFonts w:ascii="Times New Roman" w:hAnsi="Times New Roman"/>
        </w:rPr>
        <w:t>Kullanım ödüncü alanın borçları</w:t>
      </w:r>
    </w:p>
    <w:p w:rsidR="00FD173F" w:rsidRPr="00DB0105" w:rsidRDefault="00FD173F" w:rsidP="00FD173F">
      <w:pPr>
        <w:spacing w:before="100" w:beforeAutospacing="1" w:after="100" w:afterAutospacing="1" w:line="360" w:lineRule="auto"/>
        <w:jc w:val="both"/>
        <w:rPr>
          <w:rFonts w:ascii="Times New Roman" w:hAnsi="Times New Roman" w:cs="Times New Roman"/>
          <w:sz w:val="24"/>
          <w:szCs w:val="24"/>
        </w:rPr>
      </w:pPr>
      <w:r w:rsidRPr="00DB0105">
        <w:rPr>
          <w:rFonts w:ascii="Times New Roman" w:hAnsi="Times New Roman" w:cs="Times New Roman"/>
          <w:sz w:val="24"/>
          <w:szCs w:val="24"/>
        </w:rPr>
        <w:t>Kullanım ödüncü alan, kendisine kullanım ödüncü olarak veri</w:t>
      </w:r>
      <w:r w:rsidRPr="00DB0105">
        <w:rPr>
          <w:rFonts w:ascii="Times New Roman" w:hAnsi="Times New Roman" w:cs="Times New Roman"/>
          <w:sz w:val="24"/>
          <w:szCs w:val="24"/>
        </w:rPr>
        <w:softHyphen/>
        <w:t>len şeyi sözleşmeyle öngörülen şekilde; sözleşmede bu konuda bir hüküm yoksa şeyin niteliğine veya tahsis amacına uygun olarak kul</w:t>
      </w:r>
      <w:r w:rsidRPr="00DB0105">
        <w:rPr>
          <w:rFonts w:ascii="Times New Roman" w:hAnsi="Times New Roman" w:cs="Times New Roman"/>
          <w:sz w:val="24"/>
          <w:szCs w:val="24"/>
        </w:rPr>
        <w:softHyphen/>
        <w:t>lanmak zo</w:t>
      </w:r>
      <w:r w:rsidRPr="00DB0105">
        <w:rPr>
          <w:rFonts w:ascii="Times New Roman" w:hAnsi="Times New Roman" w:cs="Times New Roman"/>
          <w:sz w:val="24"/>
          <w:szCs w:val="24"/>
        </w:rPr>
        <w:softHyphen/>
        <w:t>rundadır.</w:t>
      </w:r>
    </w:p>
    <w:p w:rsidR="00FD173F" w:rsidRPr="00DB0105" w:rsidRDefault="00FD173F" w:rsidP="00FD173F">
      <w:pPr>
        <w:pStyle w:val="GvdeMetniGirintisi"/>
        <w:spacing w:before="100" w:beforeAutospacing="1" w:after="100" w:afterAutospacing="1" w:line="360" w:lineRule="auto"/>
        <w:ind w:left="0"/>
        <w:jc w:val="both"/>
        <w:rPr>
          <w:rFonts w:ascii="Times New Roman" w:hAnsi="Times New Roman" w:cs="Times New Roman"/>
          <w:sz w:val="24"/>
          <w:szCs w:val="24"/>
        </w:rPr>
      </w:pPr>
      <w:r w:rsidRPr="00DB0105">
        <w:rPr>
          <w:rFonts w:ascii="Times New Roman" w:hAnsi="Times New Roman" w:cs="Times New Roman"/>
          <w:sz w:val="24"/>
          <w:szCs w:val="24"/>
        </w:rPr>
        <w:t>TBK m. 381/I'e göre, “Ödünç alan, ödünç konusunun olağan bakım ve koruma giderlerini karşılamakla yükümlüdür". Kullanım ödüncü sözleşmesi sona erince, kullanım ödüncü alan kullanmak üzere aldığı şeyi iadeyle yükümlüdür.</w:t>
      </w:r>
    </w:p>
    <w:p w:rsidR="00FD173F" w:rsidRPr="00DB0105" w:rsidRDefault="00FD173F" w:rsidP="00FD173F">
      <w:pPr>
        <w:pStyle w:val="GvdeMetniGirintisi"/>
        <w:spacing w:before="100" w:beforeAutospacing="1" w:after="100" w:afterAutospacing="1" w:line="360" w:lineRule="auto"/>
        <w:ind w:left="0"/>
        <w:jc w:val="both"/>
        <w:rPr>
          <w:rFonts w:ascii="Times New Roman" w:hAnsi="Times New Roman" w:cs="Times New Roman"/>
          <w:sz w:val="24"/>
          <w:szCs w:val="24"/>
        </w:rPr>
      </w:pPr>
      <w:r w:rsidRPr="00DB0105">
        <w:rPr>
          <w:rFonts w:ascii="Times New Roman" w:hAnsi="Times New Roman" w:cs="Times New Roman"/>
          <w:sz w:val="24"/>
          <w:szCs w:val="24"/>
        </w:rPr>
        <w:t xml:space="preserve">Kullanım ödüncü sözleşmesinde belirli bir kullanma süresi öngörülmüşse, bu sürenin dolmasıyla sözleşme sona erer. TBK m. 384'e göre, “Ödünç konusu, kullanım süresi ve hangi amaçla kullanılacağı belirlenmeden verilmişse, ödünç veren onu dilediği zaman geri isteyebilir". Kullanım ödüncü alan, kullanım ödüncü verilen şeyi sözleşmeye aykırı olarak kullanırsa veya bozarsa veyahut kullanılmak üzere diğer bir şahsa verirse, kullanım ödüncü sözleşmesi için belirli bir süre öngörülmüşse dahi, kullanım ödüncü veren derhal iade talebinde bulunabilir.  Ödünç alan ölürse kullanım ödüncü sözleşmesi sona erer. </w:t>
      </w:r>
    </w:p>
    <w:p w:rsidR="00FD173F" w:rsidRPr="00DB0105" w:rsidRDefault="00FD173F" w:rsidP="00FD173F">
      <w:pPr>
        <w:pStyle w:val="Balk1"/>
      </w:pPr>
      <w:r w:rsidRPr="00DB0105">
        <w:lastRenderedPageBreak/>
        <w:t>TÜKETİM ÖDÜNCÜ (KARZ) SÖZLEŞMESİ</w:t>
      </w:r>
    </w:p>
    <w:p w:rsidR="00FD173F" w:rsidRPr="00DB0105" w:rsidRDefault="00FD173F" w:rsidP="00FD173F">
      <w:pPr>
        <w:spacing w:before="100" w:beforeAutospacing="1" w:after="100" w:afterAutospacing="1" w:line="360" w:lineRule="auto"/>
        <w:jc w:val="both"/>
        <w:rPr>
          <w:rFonts w:ascii="Times New Roman" w:hAnsi="Times New Roman" w:cs="Times New Roman"/>
          <w:sz w:val="24"/>
          <w:szCs w:val="24"/>
        </w:rPr>
      </w:pPr>
      <w:r w:rsidRPr="00DB0105">
        <w:rPr>
          <w:rFonts w:ascii="Times New Roman" w:hAnsi="Times New Roman" w:cs="Times New Roman"/>
          <w:sz w:val="24"/>
          <w:szCs w:val="24"/>
        </w:rPr>
        <w:t>Tüketim ödüncü sözleşmesi çerçevesinde ödünç veren, bir miktar para veya bir mislî şeyin mülkiyetini belirli bir süre için ödünç alana geçirmeyi; ödünç alan da aynı miktar ve nitelikte şeyi iade etmeyi taahhüt etmektedirler. Tüketim ödüncü sözleşmesinde, ödünç verenin sözleşme konusu şeyin mül</w:t>
      </w:r>
      <w:r w:rsidRPr="00DB0105">
        <w:rPr>
          <w:rFonts w:ascii="Times New Roman" w:hAnsi="Times New Roman" w:cs="Times New Roman"/>
          <w:sz w:val="24"/>
          <w:szCs w:val="24"/>
        </w:rPr>
        <w:softHyphen/>
        <w:t>ki</w:t>
      </w:r>
      <w:r w:rsidRPr="00DB0105">
        <w:rPr>
          <w:rFonts w:ascii="Times New Roman" w:hAnsi="Times New Roman" w:cs="Times New Roman"/>
          <w:sz w:val="24"/>
          <w:szCs w:val="24"/>
        </w:rPr>
        <w:softHyphen/>
        <w:t>yetini devir borcunun, ödünç alanın da bunları tüketme yetkisinin bu</w:t>
      </w:r>
      <w:r w:rsidRPr="00DB0105">
        <w:rPr>
          <w:rFonts w:ascii="Times New Roman" w:hAnsi="Times New Roman" w:cs="Times New Roman"/>
          <w:sz w:val="24"/>
          <w:szCs w:val="24"/>
        </w:rPr>
        <w:softHyphen/>
      </w:r>
      <w:r w:rsidRPr="00DB0105">
        <w:rPr>
          <w:rFonts w:ascii="Times New Roman" w:hAnsi="Times New Roman" w:cs="Times New Roman"/>
          <w:sz w:val="24"/>
          <w:szCs w:val="24"/>
        </w:rPr>
        <w:softHyphen/>
      </w:r>
      <w:r w:rsidRPr="00DB0105">
        <w:rPr>
          <w:rFonts w:ascii="Times New Roman" w:hAnsi="Times New Roman" w:cs="Times New Roman"/>
          <w:sz w:val="24"/>
          <w:szCs w:val="24"/>
        </w:rPr>
        <w:softHyphen/>
      </w:r>
      <w:r w:rsidRPr="00DB0105">
        <w:rPr>
          <w:rFonts w:ascii="Times New Roman" w:hAnsi="Times New Roman" w:cs="Times New Roman"/>
          <w:sz w:val="24"/>
          <w:szCs w:val="24"/>
        </w:rPr>
        <w:softHyphen/>
        <w:t>lunması sebebiyle, bir şeyin değerinin kullanılması (Wert</w:t>
      </w:r>
      <w:r w:rsidRPr="00DB0105">
        <w:rPr>
          <w:rFonts w:ascii="Times New Roman" w:hAnsi="Times New Roman" w:cs="Times New Roman"/>
          <w:sz w:val="24"/>
          <w:szCs w:val="24"/>
        </w:rPr>
        <w:softHyphen/>
        <w:t xml:space="preserve">gebrauch) söz konusudur. </w:t>
      </w:r>
    </w:p>
    <w:p w:rsidR="00FD173F" w:rsidRPr="00DB0105" w:rsidRDefault="00FD173F" w:rsidP="00FD173F">
      <w:pPr>
        <w:spacing w:before="100" w:beforeAutospacing="1" w:after="100" w:afterAutospacing="1" w:line="360" w:lineRule="auto"/>
        <w:jc w:val="both"/>
        <w:rPr>
          <w:rFonts w:ascii="Times New Roman" w:hAnsi="Times New Roman" w:cs="Times New Roman"/>
          <w:sz w:val="24"/>
          <w:szCs w:val="24"/>
        </w:rPr>
      </w:pPr>
      <w:r w:rsidRPr="00DB0105">
        <w:rPr>
          <w:rFonts w:ascii="Times New Roman" w:hAnsi="Times New Roman" w:cs="Times New Roman"/>
          <w:sz w:val="24"/>
          <w:szCs w:val="24"/>
        </w:rPr>
        <w:t>Tüketim ödüncü sözleşmesi borç doğuran ve rızaî bir sözleşmedir.</w:t>
      </w:r>
      <w:r>
        <w:rPr>
          <w:rFonts w:ascii="Times New Roman" w:hAnsi="Times New Roman" w:cs="Times New Roman"/>
          <w:sz w:val="24"/>
          <w:szCs w:val="24"/>
        </w:rPr>
        <w:t xml:space="preserve"> </w:t>
      </w:r>
      <w:r w:rsidRPr="00DB0105">
        <w:rPr>
          <w:rFonts w:ascii="Times New Roman" w:hAnsi="Times New Roman" w:cs="Times New Roman"/>
          <w:sz w:val="24"/>
          <w:szCs w:val="24"/>
        </w:rPr>
        <w:t xml:space="preserve">Tüketim ödüncü sözleşmesi, faiz öngörülmediği takdirde, eksik iki tarafa borç yükleyen bir sözleşme niteliği taşır. Faiz kararlaştırılan veya faiz ödenmesi gereken (TBK m. 387/II) hallerde tüketim ödüncü sözleşmesi tam iki tarafa borç yükleyen bir sözleşme niteliği taşır. </w:t>
      </w:r>
    </w:p>
    <w:p w:rsidR="00FD173F" w:rsidRPr="00DB0105" w:rsidRDefault="00FD173F" w:rsidP="00FD173F">
      <w:pPr>
        <w:spacing w:before="100" w:beforeAutospacing="1" w:after="100" w:afterAutospacing="1" w:line="360" w:lineRule="auto"/>
        <w:jc w:val="both"/>
        <w:rPr>
          <w:rFonts w:ascii="Times New Roman" w:hAnsi="Times New Roman" w:cs="Times New Roman"/>
          <w:sz w:val="24"/>
          <w:szCs w:val="24"/>
        </w:rPr>
      </w:pPr>
      <w:r w:rsidRPr="00DB0105">
        <w:rPr>
          <w:rFonts w:ascii="Times New Roman" w:hAnsi="Times New Roman" w:cs="Times New Roman"/>
          <w:sz w:val="24"/>
          <w:szCs w:val="24"/>
        </w:rPr>
        <w:t xml:space="preserve">Tüketim ödüncü sözleşmesinin konusunu bir miktar para veya mislî şeyler teşkil eder; yabancı paralar da ödünç sözleşmesine konu olabilirler. Kira ve âriyet sözleşmelerinden farklı olarak tüketim ödüncü sözleşmesinde, ödünç veren, sözleşme konusunun mülkiyetini ödünç alana geçirmeyi taahhüt eder. Ödünç alan, sözleşmenin sonunda, aldığı şeyin aynı miktar ve vasıfta bir benzerini iade etmek zorundadır. </w:t>
      </w:r>
    </w:p>
    <w:p w:rsidR="00FD173F" w:rsidRPr="00DB0105" w:rsidRDefault="00FD173F" w:rsidP="00FD173F">
      <w:pPr>
        <w:spacing w:before="100" w:beforeAutospacing="1" w:after="100" w:afterAutospacing="1" w:line="360" w:lineRule="auto"/>
        <w:jc w:val="both"/>
        <w:rPr>
          <w:rFonts w:ascii="Times New Roman" w:hAnsi="Times New Roman" w:cs="Times New Roman"/>
          <w:sz w:val="24"/>
          <w:szCs w:val="24"/>
        </w:rPr>
      </w:pPr>
      <w:r w:rsidRPr="00DB0105">
        <w:rPr>
          <w:rFonts w:ascii="Times New Roman" w:hAnsi="Times New Roman" w:cs="Times New Roman"/>
          <w:sz w:val="24"/>
          <w:szCs w:val="24"/>
        </w:rPr>
        <w:t>Bir miktar paranın ödünç verilmesini konu edinen tüketim ödüncü sözleşmelerinde, ödünç alanın ayrıca faiz ödemek zorunda olup olmadığı hususu TBK m. 387'de düzenlenmiştir. Buna göre, sözleşmede faiz kararlaştırılmamışsa, âdi işlerde faiz gerekmez (TBK m. 387/I). Buna karşılık, ticarî işlerde sözleşmeyle faiz ödenmesi kararlaştırılmamış olsa dahi, faiz vermek gerekir (TBK m. 387/II).</w:t>
      </w:r>
    </w:p>
    <w:p w:rsidR="00FD173F" w:rsidRPr="00DB0105" w:rsidRDefault="00FD173F" w:rsidP="00FD173F">
      <w:pPr>
        <w:spacing w:before="100" w:beforeAutospacing="1" w:after="100" w:afterAutospacing="1" w:line="360" w:lineRule="auto"/>
        <w:jc w:val="both"/>
        <w:rPr>
          <w:rFonts w:ascii="Times New Roman" w:hAnsi="Times New Roman" w:cs="Times New Roman"/>
          <w:sz w:val="24"/>
          <w:szCs w:val="24"/>
        </w:rPr>
      </w:pPr>
      <w:r w:rsidRPr="00DB0105">
        <w:rPr>
          <w:rFonts w:ascii="Times New Roman" w:hAnsi="Times New Roman" w:cs="Times New Roman"/>
          <w:sz w:val="24"/>
          <w:szCs w:val="24"/>
        </w:rPr>
        <w:t xml:space="preserve">Ödünç konusunun mülkiyetini geçirme ve bu amaçla teslim borcu, ödünç verenin aslî edim yükümlerindendir. Ödünç veren borçlandığı parayı ödemekte temerrüde düşerse, TBK m. 120 gereğince temerrüd faizi ödemek zorundadır. Ödünç veren ödünç konusunun tesliminde temerrüde düşerse, ödünç alanın teslimi talep hakkı temerrüt tarihinden itibaren altı ay geçmekle zamanaşımına uğrar. </w:t>
      </w:r>
    </w:p>
    <w:p w:rsidR="00FD173F" w:rsidRPr="00DB0105" w:rsidRDefault="00FD173F" w:rsidP="00FD173F">
      <w:pPr>
        <w:spacing w:before="100" w:beforeAutospacing="1" w:after="100" w:afterAutospacing="1" w:line="360" w:lineRule="auto"/>
        <w:jc w:val="both"/>
        <w:rPr>
          <w:rFonts w:ascii="Times New Roman" w:hAnsi="Times New Roman" w:cs="Times New Roman"/>
          <w:sz w:val="24"/>
          <w:szCs w:val="24"/>
        </w:rPr>
      </w:pPr>
      <w:r w:rsidRPr="00DB0105">
        <w:rPr>
          <w:rFonts w:ascii="Times New Roman" w:hAnsi="Times New Roman" w:cs="Times New Roman"/>
          <w:sz w:val="24"/>
          <w:szCs w:val="24"/>
        </w:rPr>
        <w:t xml:space="preserve">Tüketim ödüncü sözleşmesinde ödünç alanın ödünç konusu şeyi kabul borcu söz konusudur. Ödünç alanın şeyi kabul borcunda temerrüdü halinde, borç bu konuda temerrüde düşmesinden başlayarak altı ayın geçmesiyle zamanaşımına uğrar. Tüketim ödüncü sözleşmesi sona erince, ödünç alan, miktar ve nitelik olarak aldığına eşit aynı türden şeyleri geri vermekle yükümlüdür (TBK m. 386). Ödünç konusunun para olması halinde, iade borcunu ifada temerrüde düşen </w:t>
      </w:r>
      <w:r w:rsidRPr="00DB0105">
        <w:rPr>
          <w:rFonts w:ascii="Times New Roman" w:hAnsi="Times New Roman" w:cs="Times New Roman"/>
          <w:sz w:val="24"/>
          <w:szCs w:val="24"/>
        </w:rPr>
        <w:lastRenderedPageBreak/>
        <w:t>ödünç alan, ayrıca temerrüt faizi ödemekle yükümlü olur.  Ödünç alanın faiz ödeme borcunun tabi olduğu zamanaşımı süresi, BK m. 147/b. 1 gereğince beş yıldır. Fakat ödünç alanın ödünç konusu parayı teslim al</w:t>
      </w:r>
      <w:r w:rsidRPr="00DB0105">
        <w:rPr>
          <w:rFonts w:ascii="Times New Roman" w:hAnsi="Times New Roman" w:cs="Times New Roman"/>
          <w:sz w:val="24"/>
          <w:szCs w:val="24"/>
        </w:rPr>
        <w:softHyphen/>
        <w:t xml:space="preserve">makta temerrüde düşmesinden itibaren altı ay geçmişse, ödünç verenin paranın teslim alınmasına dair alacağı TBK 389 gereğince zamanaşımına uğrar ve onunla birlikte faiz alacağı da TBK m. 152 uyarınca zamanaşımına uğramış olur. </w:t>
      </w:r>
    </w:p>
    <w:p w:rsidR="00FD173F" w:rsidRPr="00DB0105" w:rsidRDefault="00FD173F" w:rsidP="00FD173F">
      <w:pPr>
        <w:spacing w:before="100" w:beforeAutospacing="1" w:after="100" w:afterAutospacing="1" w:line="360" w:lineRule="auto"/>
        <w:jc w:val="both"/>
        <w:rPr>
          <w:rFonts w:ascii="Times New Roman" w:hAnsi="Times New Roman" w:cs="Times New Roman"/>
          <w:sz w:val="24"/>
          <w:szCs w:val="24"/>
        </w:rPr>
      </w:pPr>
      <w:r w:rsidRPr="00DB0105">
        <w:rPr>
          <w:rFonts w:ascii="Times New Roman" w:hAnsi="Times New Roman" w:cs="Times New Roman"/>
          <w:sz w:val="24"/>
          <w:szCs w:val="24"/>
        </w:rPr>
        <w:t>Taraflar, sözleşmeyle ödünç verilen şey veya paranın iade edileceği tarihi (vadeyi) belirlemişler ise, öngörülen vadenin gelmesiyle tüketim ödüncü sözleşmesi sona erer. Belirsiz süreli tüketim ödüncü sözleşmelerinde, taraflar ödünç verenin iade talebi üzerine derhal veya bir süre sonra sözleşmenin sona ereceğini kararlaştırabilirler. Bu ihtimalde iade talebi bir nevi fesih bildirimi ni</w:t>
      </w:r>
      <w:r w:rsidRPr="00DB0105">
        <w:rPr>
          <w:rFonts w:ascii="Times New Roman" w:hAnsi="Times New Roman" w:cs="Times New Roman"/>
          <w:sz w:val="24"/>
          <w:szCs w:val="24"/>
        </w:rPr>
        <w:softHyphen/>
        <w:t>teliği taşır. Tüketim ödüncü sözleşmesinde belirli bir sürenin veya fesih bil</w:t>
      </w:r>
      <w:r w:rsidRPr="00DB0105">
        <w:rPr>
          <w:rFonts w:ascii="Times New Roman" w:hAnsi="Times New Roman" w:cs="Times New Roman"/>
          <w:sz w:val="24"/>
          <w:szCs w:val="24"/>
        </w:rPr>
        <w:softHyphen/>
      </w:r>
      <w:r w:rsidRPr="00DB0105">
        <w:rPr>
          <w:rFonts w:ascii="Times New Roman" w:hAnsi="Times New Roman" w:cs="Times New Roman"/>
          <w:sz w:val="24"/>
          <w:szCs w:val="24"/>
        </w:rPr>
        <w:softHyphen/>
        <w:t>di</w:t>
      </w:r>
      <w:r w:rsidRPr="00DB0105">
        <w:rPr>
          <w:rFonts w:ascii="Times New Roman" w:hAnsi="Times New Roman" w:cs="Times New Roman"/>
          <w:sz w:val="24"/>
          <w:szCs w:val="24"/>
        </w:rPr>
        <w:softHyphen/>
        <w:t>ri</w:t>
      </w:r>
      <w:r w:rsidRPr="00DB0105">
        <w:rPr>
          <w:rFonts w:ascii="Times New Roman" w:hAnsi="Times New Roman" w:cs="Times New Roman"/>
          <w:sz w:val="24"/>
          <w:szCs w:val="24"/>
        </w:rPr>
        <w:softHyphen/>
        <w:t>mi üzerine derhal yahut bir müddet sonra iade borcunun muaccel olacağı kararlaştırılmamış ise, ödünç alan ödünç konusunu ilk talepten başlayarak altı hafta geçmedikçe ödüncü geri vermekle yükümlü değildir (TBK m. 392)</w:t>
      </w:r>
    </w:p>
    <w:p w:rsidR="00FD173F" w:rsidRPr="00DB0105" w:rsidRDefault="00FD173F" w:rsidP="00FD173F">
      <w:pPr>
        <w:spacing w:before="100" w:beforeAutospacing="1" w:after="100" w:afterAutospacing="1" w:line="360" w:lineRule="auto"/>
        <w:jc w:val="both"/>
        <w:rPr>
          <w:rFonts w:ascii="Times New Roman" w:hAnsi="Times New Roman" w:cs="Times New Roman"/>
          <w:b/>
          <w:sz w:val="24"/>
          <w:szCs w:val="24"/>
        </w:rPr>
      </w:pPr>
      <w:r w:rsidRPr="00DB0105">
        <w:rPr>
          <w:rFonts w:ascii="Times New Roman" w:hAnsi="Times New Roman" w:cs="Times New Roman"/>
          <w:sz w:val="24"/>
          <w:szCs w:val="24"/>
        </w:rPr>
        <w:t xml:space="preserve">Faizsiz tüketim ödüncü sözleşmelerinde, ödünç alan, her durumda ödünç konusunu iadeyle sözleşmeyi sona erdirebilir. Buna karşılık faizli tüketim ödüncü sözleşmelerinde, ödünç alan vade veya fesih bildirimi süresi dolmadan ödemede bulunamaz; meğer ki bu sürenin sonuna kadar işleyecek faizi kabul etsin veya ödünç veren faiz talebinden vazgeçsin. </w:t>
      </w:r>
    </w:p>
    <w:p w:rsidR="00FD173F" w:rsidRPr="00DB0105" w:rsidRDefault="00FD173F" w:rsidP="00FD173F">
      <w:pPr>
        <w:spacing w:before="100" w:beforeAutospacing="1" w:after="100" w:afterAutospacing="1" w:line="360" w:lineRule="auto"/>
        <w:jc w:val="both"/>
        <w:rPr>
          <w:rFonts w:ascii="Times New Roman" w:hAnsi="Times New Roman" w:cs="Times New Roman"/>
          <w:sz w:val="24"/>
          <w:szCs w:val="24"/>
        </w:rPr>
      </w:pPr>
    </w:p>
    <w:p w:rsidR="00FD173F" w:rsidRPr="000D0D6C" w:rsidRDefault="00FD173F" w:rsidP="00FD173F"/>
    <w:p w:rsidR="00173F6D" w:rsidRPr="00FD173F" w:rsidRDefault="00173F6D" w:rsidP="00FD173F">
      <w:bookmarkStart w:id="0" w:name="_GoBack"/>
      <w:bookmarkEnd w:id="0"/>
    </w:p>
    <w:sectPr w:rsidR="00173F6D" w:rsidRPr="00FD17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FC5" w:rsidRDefault="00890FC5" w:rsidP="004A09E2">
      <w:pPr>
        <w:spacing w:after="0" w:line="240" w:lineRule="auto"/>
      </w:pPr>
      <w:r>
        <w:separator/>
      </w:r>
    </w:p>
  </w:endnote>
  <w:endnote w:type="continuationSeparator" w:id="0">
    <w:p w:rsidR="00890FC5" w:rsidRDefault="00890FC5"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FC5" w:rsidRDefault="00890FC5" w:rsidP="004A09E2">
      <w:pPr>
        <w:spacing w:after="0" w:line="240" w:lineRule="auto"/>
      </w:pPr>
      <w:r>
        <w:separator/>
      </w:r>
    </w:p>
  </w:footnote>
  <w:footnote w:type="continuationSeparator" w:id="0">
    <w:p w:rsidR="00890FC5" w:rsidRDefault="00890FC5" w:rsidP="004A09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16E8D"/>
    <w:multiLevelType w:val="hybridMultilevel"/>
    <w:tmpl w:val="A9CA51E4"/>
    <w:lvl w:ilvl="0" w:tplc="A348AA96">
      <w:start w:val="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EF5AFF"/>
    <w:multiLevelType w:val="hybridMultilevel"/>
    <w:tmpl w:val="719A8C34"/>
    <w:lvl w:ilvl="0" w:tplc="EAE28540">
      <w:start w:val="3"/>
      <w:numFmt w:val="bullet"/>
      <w:lvlText w:val="-"/>
      <w:lvlJc w:val="left"/>
      <w:pPr>
        <w:ind w:left="720" w:hanging="360"/>
      </w:pPr>
      <w:rPr>
        <w:rFonts w:ascii="Calibri" w:eastAsiaTheme="minorHAnsi" w:hAnsi="Calibri"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0822497"/>
    <w:multiLevelType w:val="hybridMultilevel"/>
    <w:tmpl w:val="A5760EFC"/>
    <w:lvl w:ilvl="0" w:tplc="5EA8B028">
      <w:start w:val="3"/>
      <w:numFmt w:val="bullet"/>
      <w:lvlText w:val="-"/>
      <w:lvlJc w:val="left"/>
      <w:pPr>
        <w:ind w:left="720" w:hanging="360"/>
      </w:pPr>
      <w:rPr>
        <w:rFonts w:ascii="Calibri" w:eastAsiaTheme="minorHAnsi" w:hAnsi="Calibri" w:cstheme="minorBidi"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23803"/>
    <w:rsid w:val="000610BB"/>
    <w:rsid w:val="000B3275"/>
    <w:rsid w:val="00140C0E"/>
    <w:rsid w:val="0015376C"/>
    <w:rsid w:val="00173F6D"/>
    <w:rsid w:val="001B6F98"/>
    <w:rsid w:val="001D2037"/>
    <w:rsid w:val="0026182D"/>
    <w:rsid w:val="00273FCE"/>
    <w:rsid w:val="002945AB"/>
    <w:rsid w:val="003100ED"/>
    <w:rsid w:val="00435680"/>
    <w:rsid w:val="004A09E2"/>
    <w:rsid w:val="005114C8"/>
    <w:rsid w:val="005D7F58"/>
    <w:rsid w:val="00687282"/>
    <w:rsid w:val="00704FA0"/>
    <w:rsid w:val="00797AE5"/>
    <w:rsid w:val="00862B70"/>
    <w:rsid w:val="0087534C"/>
    <w:rsid w:val="00890FC5"/>
    <w:rsid w:val="00A04707"/>
    <w:rsid w:val="00AB2D0F"/>
    <w:rsid w:val="00B71A14"/>
    <w:rsid w:val="00BC541F"/>
    <w:rsid w:val="00BE400D"/>
    <w:rsid w:val="00C953CA"/>
    <w:rsid w:val="00DB0105"/>
    <w:rsid w:val="00E0210D"/>
    <w:rsid w:val="00E22091"/>
    <w:rsid w:val="00E24442"/>
    <w:rsid w:val="00E34E31"/>
    <w:rsid w:val="00E35B96"/>
    <w:rsid w:val="00E537F4"/>
    <w:rsid w:val="00F0403C"/>
    <w:rsid w:val="00F15CAB"/>
    <w:rsid w:val="00FD1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73F"/>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DB0105"/>
    <w:pPr>
      <w:keepNext/>
      <w:keepLines/>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704FA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 w:type="paragraph" w:styleId="ListeParagraf">
    <w:name w:val="List Paragraph"/>
    <w:basedOn w:val="Normal"/>
    <w:uiPriority w:val="34"/>
    <w:qFormat/>
    <w:rsid w:val="00F0403C"/>
    <w:pPr>
      <w:ind w:left="720"/>
      <w:contextualSpacing/>
    </w:pPr>
  </w:style>
  <w:style w:type="character" w:customStyle="1" w:styleId="Balk6Char">
    <w:name w:val="Başlık 6 Char"/>
    <w:basedOn w:val="VarsaylanParagrafYazTipi"/>
    <w:link w:val="Balk6"/>
    <w:uiPriority w:val="9"/>
    <w:semiHidden/>
    <w:rsid w:val="00DB0105"/>
    <w:rPr>
      <w:rFonts w:asciiTheme="majorHAnsi" w:eastAsiaTheme="majorEastAsia" w:hAnsiTheme="majorHAnsi" w:cstheme="majorBidi"/>
      <w:color w:val="1F4D78" w:themeColor="accent1" w:themeShade="7F"/>
    </w:rPr>
  </w:style>
  <w:style w:type="paragraph" w:styleId="GvdeMetniGirintisi">
    <w:name w:val="Body Text Indent"/>
    <w:basedOn w:val="Normal"/>
    <w:link w:val="GvdeMetniGirintisiChar"/>
    <w:uiPriority w:val="99"/>
    <w:semiHidden/>
    <w:unhideWhenUsed/>
    <w:rsid w:val="00DB0105"/>
    <w:pPr>
      <w:spacing w:after="120"/>
      <w:ind w:left="283"/>
    </w:pPr>
  </w:style>
  <w:style w:type="character" w:customStyle="1" w:styleId="GvdeMetniGirintisiChar">
    <w:name w:val="Gövde Metni Girintisi Char"/>
    <w:basedOn w:val="VarsaylanParagrafYazTipi"/>
    <w:link w:val="GvdeMetniGirintisi"/>
    <w:uiPriority w:val="99"/>
    <w:semiHidden/>
    <w:rsid w:val="00DB0105"/>
  </w:style>
  <w:style w:type="character" w:customStyle="1" w:styleId="Balk7Char">
    <w:name w:val="Başlık 7 Char"/>
    <w:basedOn w:val="VarsaylanParagrafYazTipi"/>
    <w:link w:val="Balk7"/>
    <w:uiPriority w:val="9"/>
    <w:semiHidden/>
    <w:rsid w:val="00704FA0"/>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902</Words>
  <Characters>5148</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duygu</cp:lastModifiedBy>
  <cp:revision>6</cp:revision>
  <dcterms:created xsi:type="dcterms:W3CDTF">2018-01-04T09:59:00Z</dcterms:created>
  <dcterms:modified xsi:type="dcterms:W3CDTF">2018-01-10T02:54:00Z</dcterms:modified>
</cp:coreProperties>
</file>