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E326E" w:rsidRDefault="00EE721C" w:rsidP="00652073">
            <w:pPr>
              <w:pStyle w:val="DersBilgileri"/>
              <w:rPr>
                <w:rFonts w:asciiTheme="minorHAnsi" w:hAnsiTheme="minorHAnsi"/>
                <w:b/>
                <w:bCs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TIP540/</w:t>
            </w:r>
            <w:r w:rsidR="00652073">
              <w:rPr>
                <w:rFonts w:asciiTheme="minorHAnsi" w:hAnsiTheme="minorHAnsi"/>
                <w:sz w:val="24"/>
              </w:rPr>
              <w:t>Sarılıklı Çocuğa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E326E" w:rsidRDefault="00EE721C" w:rsidP="00652073">
            <w:pPr>
              <w:pStyle w:val="DersBilgileri"/>
              <w:rPr>
                <w:rFonts w:asciiTheme="minorHAnsi" w:hAnsiTheme="minorHAnsi"/>
                <w:sz w:val="24"/>
              </w:rPr>
            </w:pPr>
            <w:proofErr w:type="spellStart"/>
            <w:r w:rsidRPr="00CE326E">
              <w:rPr>
                <w:rFonts w:asciiTheme="minorHAnsi" w:hAnsiTheme="minorHAnsi"/>
                <w:sz w:val="24"/>
              </w:rPr>
              <w:t>Prof.Dr</w:t>
            </w:r>
            <w:proofErr w:type="spellEnd"/>
            <w:r w:rsidRPr="00CE326E">
              <w:rPr>
                <w:rFonts w:asciiTheme="minorHAnsi" w:hAnsiTheme="minorHAnsi"/>
                <w:sz w:val="24"/>
              </w:rPr>
              <w:t xml:space="preserve">. </w:t>
            </w:r>
            <w:r w:rsidR="00652073">
              <w:rPr>
                <w:rFonts w:asciiTheme="minorHAnsi" w:hAnsiTheme="minorHAnsi"/>
                <w:sz w:val="24"/>
              </w:rPr>
              <w:t>Aydan Kansu Tanca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E326E" w:rsidRDefault="00130A24" w:rsidP="00130A24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Ulusal 12/AKTS 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31D3B" w:rsidRPr="00FC6F34" w:rsidRDefault="00652073" w:rsidP="00FC6F34">
            <w:pPr>
              <w:pStyle w:val="DersBilgileri"/>
              <w:rPr>
                <w:rFonts w:asciiTheme="minorHAnsi" w:hAnsiTheme="minorHAnsi" w:cs="Tahoma"/>
                <w:b/>
                <w:bCs/>
                <w:color w:val="575A5D"/>
                <w:shd w:val="clear" w:color="auto" w:fill="FFFFFF"/>
              </w:rPr>
            </w:pPr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Sarılık, safra pigmenti olan </w:t>
            </w:r>
            <w:proofErr w:type="spellStart"/>
            <w:r w:rsidRPr="00652073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bilirubinin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 d</w:t>
            </w:r>
            <w:r w:rsidRPr="00652073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eri, </w:t>
            </w:r>
            <w:proofErr w:type="spellStart"/>
            <w:r w:rsidRPr="00652073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sklera</w:t>
            </w:r>
            <w:proofErr w:type="spellEnd"/>
            <w:r w:rsidRPr="00652073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 ve d</w:t>
            </w:r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iğer dokularda birikimine bağlı olarak ortaya çıkan bir bulgudur.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Yenidoğan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kolestazı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, yaşamın ilk üç ayında direkt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hiperbilirübinemi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 ve karaciğer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disfonksiyonu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 ile karakterizedir. Karaciğer içi ve karaciğer dışı nedenler</w:t>
            </w:r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 (</w:t>
            </w:r>
            <w:proofErr w:type="spellStart"/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enfektif</w:t>
            </w:r>
            <w:proofErr w:type="spellEnd"/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, </w:t>
            </w:r>
            <w:proofErr w:type="spellStart"/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metabolik</w:t>
            </w:r>
            <w:proofErr w:type="spellEnd"/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,</w:t>
            </w:r>
            <w:r w:rsidR="00C03F11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 </w:t>
            </w:r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endokrin, yapısal nedenler gibi) </w:t>
            </w:r>
            <w:proofErr w:type="spellStart"/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yenidoğan</w:t>
            </w:r>
            <w:proofErr w:type="spellEnd"/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 </w:t>
            </w:r>
            <w:proofErr w:type="spellStart"/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>kolestazına</w:t>
            </w:r>
            <w:proofErr w:type="spellEnd"/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 yol açarlar. Tanı öykü, </w:t>
            </w:r>
            <w:r w:rsidR="00FC6F34">
              <w:rPr>
                <w:rFonts w:asciiTheme="minorHAnsi" w:hAnsiTheme="minorHAnsi" w:cs="Tahoma"/>
                <w:b/>
                <w:bCs/>
                <w:color w:val="575A5D"/>
                <w:shd w:val="clear" w:color="auto" w:fill="FFFFFF"/>
              </w:rPr>
              <w:t xml:space="preserve"> </w:t>
            </w:r>
            <w:r w:rsidR="00394B7A" w:rsidRPr="00CE326E">
              <w:rPr>
                <w:rFonts w:asciiTheme="minorHAnsi" w:hAnsiTheme="minorHAnsi"/>
                <w:sz w:val="24"/>
              </w:rPr>
              <w:t xml:space="preserve">muayene ve </w:t>
            </w:r>
            <w:proofErr w:type="spellStart"/>
            <w:r w:rsidR="00394B7A" w:rsidRPr="00CE326E">
              <w:rPr>
                <w:rFonts w:asciiTheme="minorHAnsi" w:hAnsiTheme="minorHAnsi"/>
                <w:sz w:val="24"/>
              </w:rPr>
              <w:t>laboratu</w:t>
            </w:r>
            <w:r w:rsidR="00A26608">
              <w:rPr>
                <w:rFonts w:asciiTheme="minorHAnsi" w:hAnsiTheme="minorHAnsi"/>
                <w:sz w:val="24"/>
              </w:rPr>
              <w:t>v</w:t>
            </w:r>
            <w:r w:rsidR="00394B7A" w:rsidRPr="00CE326E">
              <w:rPr>
                <w:rFonts w:asciiTheme="minorHAnsi" w:hAnsiTheme="minorHAnsi"/>
                <w:sz w:val="24"/>
              </w:rPr>
              <w:t>ar</w:t>
            </w:r>
            <w:proofErr w:type="spellEnd"/>
            <w:r w:rsidR="00394B7A" w:rsidRPr="00CE326E">
              <w:rPr>
                <w:rFonts w:asciiTheme="minorHAnsi" w:hAnsiTheme="minorHAnsi"/>
                <w:sz w:val="24"/>
              </w:rPr>
              <w:t xml:space="preserve"> bulgular</w:t>
            </w:r>
            <w:r w:rsidR="00FC6F34">
              <w:rPr>
                <w:rFonts w:asciiTheme="minorHAnsi" w:hAnsiTheme="minorHAnsi"/>
                <w:sz w:val="24"/>
              </w:rPr>
              <w:t>ı</w:t>
            </w:r>
            <w:r w:rsidR="00394B7A" w:rsidRPr="00CE326E">
              <w:rPr>
                <w:rFonts w:asciiTheme="minorHAnsi" w:hAnsiTheme="minorHAnsi"/>
                <w:sz w:val="24"/>
              </w:rPr>
              <w:t xml:space="preserve"> bir arada değerlendirilerek konulur.  </w:t>
            </w:r>
            <w:r w:rsidR="004A645C">
              <w:rPr>
                <w:rFonts w:asciiTheme="minorHAnsi" w:hAnsiTheme="minorHAnsi"/>
                <w:sz w:val="24"/>
                <w:shd w:val="clear" w:color="auto" w:fill="FFFFFF"/>
              </w:rPr>
              <w:t>Tedavi altta yatan nedene yönelik</w:t>
            </w:r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 xml:space="preserve"> olarak </w:t>
            </w:r>
            <w:proofErr w:type="gramStart"/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>spesifik</w:t>
            </w:r>
            <w:proofErr w:type="gramEnd"/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 xml:space="preserve"> tedavi ya da karaciğer transplantasyonu iledir. Büyük çocuklarda sarılık nedeni başta </w:t>
            </w:r>
            <w:proofErr w:type="spellStart"/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>viral</w:t>
            </w:r>
            <w:proofErr w:type="spellEnd"/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 xml:space="preserve"> hepatitler (Hepatit A ve hepatit B enfeksiyonu gibi) olmak üzere </w:t>
            </w:r>
            <w:proofErr w:type="spellStart"/>
            <w:proofErr w:type="gramStart"/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>metabolik</w:t>
            </w:r>
            <w:proofErr w:type="spellEnd"/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 xml:space="preserve"> , </w:t>
            </w:r>
            <w:proofErr w:type="spellStart"/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>otoimmün</w:t>
            </w:r>
            <w:proofErr w:type="spellEnd"/>
            <w:proofErr w:type="gramEnd"/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 xml:space="preserve"> ya da </w:t>
            </w:r>
            <w:proofErr w:type="spellStart"/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>toksik</w:t>
            </w:r>
            <w:proofErr w:type="spellEnd"/>
            <w:r w:rsidR="00FC6F34">
              <w:rPr>
                <w:rFonts w:asciiTheme="minorHAnsi" w:hAnsiTheme="minorHAnsi"/>
                <w:sz w:val="24"/>
                <w:shd w:val="clear" w:color="auto" w:fill="FFFFFF"/>
              </w:rPr>
              <w:t xml:space="preserve"> nedenlere bağlı olabilir. </w:t>
            </w:r>
            <w:r w:rsidR="00FC6F34">
              <w:rPr>
                <w:rFonts w:asciiTheme="minorHAnsi" w:hAnsiTheme="minorHAnsi" w:cs="Tahoma"/>
                <w:b/>
                <w:bCs/>
                <w:color w:val="575A5D"/>
                <w:sz w:val="24"/>
                <w:shd w:val="clear" w:color="auto" w:fill="FFFFFF"/>
              </w:rPr>
              <w:t xml:space="preserve">Tanı öykü, </w:t>
            </w:r>
            <w:r w:rsidR="00FC6F34">
              <w:rPr>
                <w:rFonts w:asciiTheme="minorHAnsi" w:hAnsiTheme="minorHAnsi" w:cs="Tahoma"/>
                <w:b/>
                <w:bCs/>
                <w:color w:val="575A5D"/>
                <w:shd w:val="clear" w:color="auto" w:fill="FFFFFF"/>
              </w:rPr>
              <w:t xml:space="preserve"> </w:t>
            </w:r>
            <w:r w:rsidR="00FC6F34" w:rsidRPr="00CE326E">
              <w:rPr>
                <w:rFonts w:asciiTheme="minorHAnsi" w:hAnsiTheme="minorHAnsi"/>
                <w:sz w:val="24"/>
              </w:rPr>
              <w:t xml:space="preserve">muayene ve </w:t>
            </w:r>
            <w:proofErr w:type="spellStart"/>
            <w:r w:rsidR="00FC6F34" w:rsidRPr="00CE326E">
              <w:rPr>
                <w:rFonts w:asciiTheme="minorHAnsi" w:hAnsiTheme="minorHAnsi"/>
                <w:sz w:val="24"/>
              </w:rPr>
              <w:t>laboratu</w:t>
            </w:r>
            <w:r w:rsidR="00FC6F34">
              <w:rPr>
                <w:rFonts w:asciiTheme="minorHAnsi" w:hAnsiTheme="minorHAnsi"/>
                <w:sz w:val="24"/>
              </w:rPr>
              <w:t>v</w:t>
            </w:r>
            <w:r w:rsidR="00FC6F34" w:rsidRPr="00CE326E">
              <w:rPr>
                <w:rFonts w:asciiTheme="minorHAnsi" w:hAnsiTheme="minorHAnsi"/>
                <w:sz w:val="24"/>
              </w:rPr>
              <w:t>ar</w:t>
            </w:r>
            <w:proofErr w:type="spellEnd"/>
            <w:r w:rsidR="00FC6F34" w:rsidRPr="00CE326E">
              <w:rPr>
                <w:rFonts w:asciiTheme="minorHAnsi" w:hAnsiTheme="minorHAnsi"/>
                <w:sz w:val="24"/>
              </w:rPr>
              <w:t xml:space="preserve"> bulgular</w:t>
            </w:r>
            <w:r w:rsidR="00FC6F34">
              <w:rPr>
                <w:rFonts w:asciiTheme="minorHAnsi" w:hAnsiTheme="minorHAnsi"/>
                <w:sz w:val="24"/>
              </w:rPr>
              <w:t>ı</w:t>
            </w:r>
            <w:r w:rsidR="00FC6F34" w:rsidRPr="00CE326E">
              <w:rPr>
                <w:rFonts w:asciiTheme="minorHAnsi" w:hAnsiTheme="minorHAnsi"/>
                <w:sz w:val="24"/>
              </w:rPr>
              <w:t xml:space="preserve"> bir arada değerlendirilerek konulur.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E326E" w:rsidRDefault="00FC6F34" w:rsidP="00FC6F34">
            <w:pPr>
              <w:pStyle w:val="DersBilgileri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Bebeklik ve çocukluk döneminde sarılıkla başvuran hastalarda </w:t>
            </w:r>
            <w:r w:rsidR="00B20374" w:rsidRPr="00CE326E">
              <w:rPr>
                <w:rFonts w:asciiTheme="minorHAnsi" w:hAnsiTheme="minorHAnsi"/>
                <w:sz w:val="24"/>
              </w:rPr>
              <w:t>yaklaşımı ve yaş gruplarına göre sık görülen nedenlerini kavratmak</w:t>
            </w:r>
            <w:r w:rsidR="004A645C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E326E" w:rsidRDefault="00130A24" w:rsidP="00805616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 xml:space="preserve">2 </w:t>
            </w:r>
            <w:proofErr w:type="gramStart"/>
            <w:r w:rsidRPr="00CE326E">
              <w:rPr>
                <w:rFonts w:asciiTheme="minorHAnsi" w:hAnsiTheme="minorHAnsi"/>
                <w:sz w:val="24"/>
              </w:rPr>
              <w:t>Yarı yıl</w:t>
            </w:r>
            <w:proofErr w:type="gramEnd"/>
            <w:r w:rsidRPr="00CE326E">
              <w:rPr>
                <w:rFonts w:asciiTheme="minorHAnsi" w:hAnsiTheme="minorHAnsi"/>
                <w:sz w:val="24"/>
              </w:rPr>
              <w:t>/  1 saat</w:t>
            </w:r>
            <w:r w:rsidR="00805616">
              <w:rPr>
                <w:rFonts w:asciiTheme="minorHAnsi" w:hAnsiTheme="minorHAnsi"/>
                <w:sz w:val="24"/>
              </w:rPr>
              <w:t xml:space="preserve"> /</w:t>
            </w:r>
            <w:r w:rsidR="00337A7A">
              <w:rPr>
                <w:rFonts w:asciiTheme="minorHAnsi" w:hAnsiTheme="minorHAnsi"/>
                <w:sz w:val="24"/>
              </w:rPr>
              <w:t xml:space="preserve">Her </w:t>
            </w:r>
            <w:r w:rsidR="00805616">
              <w:rPr>
                <w:rFonts w:asciiTheme="minorHAnsi" w:hAnsiTheme="minorHAnsi"/>
                <w:sz w:val="24"/>
              </w:rPr>
              <w:t>10 haftada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53745" w:rsidRDefault="00C03F11" w:rsidP="00843F3F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 xml:space="preserve">A-Kader HH, </w:t>
            </w:r>
            <w:proofErr w:type="spellStart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Balistreri</w:t>
            </w:r>
            <w:proofErr w:type="spellEnd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 xml:space="preserve"> W. </w:t>
            </w:r>
            <w:proofErr w:type="spellStart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Cholestatis</w:t>
            </w:r>
            <w:proofErr w:type="spellEnd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In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Nelson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Textbook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Pediatrics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20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th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Kleigman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RM,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Stanton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BF,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Schor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NF,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Game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JW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.</w:t>
            </w:r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Elsevier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Inc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, USA</w:t>
            </w:r>
            <w:r w:rsidR="004A645C">
              <w:rPr>
                <w:rFonts w:asciiTheme="minorHAnsi" w:hAnsiTheme="minorHAnsi"/>
                <w:sz w:val="24"/>
                <w:szCs w:val="24"/>
                <w:lang w:val="tr-TR"/>
              </w:rPr>
              <w:t>, 2016</w:t>
            </w:r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:</w:t>
            </w:r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>1928-1936.</w:t>
            </w:r>
          </w:p>
          <w:p w:rsidR="001454AB" w:rsidRPr="00153745" w:rsidRDefault="00C03F11" w:rsidP="001454AB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Loomes</w:t>
            </w:r>
            <w:proofErr w:type="spellEnd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 xml:space="preserve"> KM, </w:t>
            </w:r>
            <w:proofErr w:type="spellStart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Emeric</w:t>
            </w:r>
            <w:proofErr w:type="spellEnd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 xml:space="preserve"> KM. Pediatric </w:t>
            </w:r>
            <w:proofErr w:type="spellStart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cholestatic</w:t>
            </w:r>
            <w:proofErr w:type="spellEnd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 xml:space="preserve"> Liver </w:t>
            </w:r>
            <w:proofErr w:type="spellStart"/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disease.</w:t>
            </w:r>
            <w:r w:rsidR="001454AB"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In</w:t>
            </w:r>
            <w:proofErr w:type="spellEnd"/>
            <w:r w:rsidR="001454AB"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:</w:t>
            </w:r>
            <w:r w:rsidR="001454AB" w:rsidRPr="00153745">
              <w:rPr>
                <w:rFonts w:asciiTheme="minorHAnsi" w:eastAsiaTheme="minorHAnsi" w:hAnsi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Pediatric</w:t>
            </w:r>
            <w:proofErr w:type="spellEnd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Gastrointestinal</w:t>
            </w:r>
            <w:proofErr w:type="spellEnd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Liver</w:t>
            </w:r>
            <w:proofErr w:type="spellEnd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Disease</w:t>
            </w:r>
            <w:proofErr w:type="spellEnd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5 </w:t>
            </w:r>
            <w:proofErr w:type="spellStart"/>
            <w:proofErr w:type="gramStart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th</w:t>
            </w:r>
            <w:proofErr w:type="spellEnd"/>
            <w:proofErr w:type="gramEnd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 </w:t>
            </w:r>
            <w:proofErr w:type="spellStart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Wyliee</w:t>
            </w:r>
            <w:proofErr w:type="spellEnd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R, </w:t>
            </w:r>
            <w:proofErr w:type="spellStart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Hyams</w:t>
            </w:r>
            <w:proofErr w:type="spellEnd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JF, Kay M (</w:t>
            </w:r>
            <w:proofErr w:type="spellStart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r w:rsidR="001454AB" w:rsidRPr="00153745">
              <w:rPr>
                <w:rFonts w:asciiTheme="minorHAnsi" w:hAnsiTheme="minorHAnsi"/>
                <w:sz w:val="24"/>
                <w:szCs w:val="24"/>
                <w:lang w:val="tr-TR"/>
              </w:rPr>
              <w:t>).</w:t>
            </w:r>
            <w:r w:rsidR="001454AB" w:rsidRPr="00153745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Elsevier, Inc</w:t>
            </w:r>
            <w:r w:rsidR="001A74F0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>,</w:t>
            </w:r>
            <w:r w:rsidR="004A645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4A645C"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 w:rsidR="004A645C">
              <w:rPr>
                <w:rFonts w:asciiTheme="minorHAnsi" w:hAnsiTheme="minorHAnsi"/>
                <w:sz w:val="24"/>
                <w:szCs w:val="24"/>
                <w:lang w:val="tr-TR"/>
              </w:rPr>
              <w:t>,</w:t>
            </w:r>
            <w:r w:rsidR="001A74F0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USA, </w:t>
            </w:r>
            <w:r w:rsidR="001454AB" w:rsidRPr="00153745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>2016;</w:t>
            </w:r>
            <w:r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851-869.</w:t>
            </w:r>
          </w:p>
          <w:p w:rsidR="00E1732D" w:rsidRPr="00153745" w:rsidRDefault="00E1732D" w:rsidP="00E1732D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Fawaz</w:t>
            </w:r>
            <w:proofErr w:type="spellEnd"/>
            <w:r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 xml:space="preserve"> R, </w:t>
            </w:r>
            <w:proofErr w:type="spellStart"/>
            <w:proofErr w:type="gramStart"/>
            <w:r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jonas</w:t>
            </w:r>
            <w:proofErr w:type="spellEnd"/>
            <w:proofErr w:type="gramEnd"/>
            <w:r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 xml:space="preserve"> MM</w:t>
            </w:r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 xml:space="preserve">Acute and chronic hepatitis. </w:t>
            </w:r>
            <w:r w:rsidRPr="00C03F11">
              <w:rPr>
                <w:rFonts w:asciiTheme="minorHAnsi" w:eastAsiaTheme="minorHAnsi" w:hAnsiTheme="minorHAnsi" w:cs="StoneSans-Italic"/>
                <w:iCs/>
                <w:color w:val="241F1F"/>
                <w:sz w:val="24"/>
                <w:szCs w:val="24"/>
                <w:lang w:eastAsia="en-US"/>
              </w:rPr>
              <w:t>In:</w:t>
            </w:r>
            <w:r w:rsidRPr="00153745">
              <w:rPr>
                <w:rFonts w:asciiTheme="minorHAnsi" w:eastAsiaTheme="minorHAnsi" w:hAnsi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lastRenderedPageBreak/>
              <w:t>Pediatric</w:t>
            </w:r>
            <w:proofErr w:type="spellEnd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>Gastrointestinal</w:t>
            </w:r>
            <w:proofErr w:type="spellEnd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>Liver</w:t>
            </w:r>
            <w:proofErr w:type="spellEnd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>Disease</w:t>
            </w:r>
            <w:proofErr w:type="spellEnd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5 </w:t>
            </w:r>
            <w:proofErr w:type="spellStart"/>
            <w:proofErr w:type="gramStart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>th</w:t>
            </w:r>
            <w:proofErr w:type="spellEnd"/>
            <w:proofErr w:type="gramEnd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 </w:t>
            </w:r>
            <w:proofErr w:type="spellStart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>Wyliee</w:t>
            </w:r>
            <w:proofErr w:type="spellEnd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R, </w:t>
            </w:r>
            <w:proofErr w:type="spellStart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>Hyams</w:t>
            </w:r>
            <w:proofErr w:type="spellEnd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JF, Kay M (</w:t>
            </w:r>
            <w:proofErr w:type="spellStart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r w:rsidRPr="00153745">
              <w:rPr>
                <w:rFonts w:asciiTheme="minorHAnsi" w:hAnsiTheme="minorHAnsi"/>
                <w:sz w:val="24"/>
                <w:szCs w:val="24"/>
                <w:lang w:val="tr-TR"/>
              </w:rPr>
              <w:t>).</w:t>
            </w:r>
            <w:r w:rsidRPr="00153745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Elsevier, Inc</w:t>
            </w:r>
            <w:r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>,</w:t>
            </w:r>
            <w:r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USA, </w:t>
            </w:r>
            <w:r w:rsidRPr="00153745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>2016;</w:t>
            </w:r>
            <w:r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906-908.</w:t>
            </w:r>
          </w:p>
          <w:p w:rsidR="00D861A0" w:rsidRPr="001A2552" w:rsidRDefault="00D861A0" w:rsidP="00C03F1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732D">
      <w:bookmarkStart w:id="0" w:name="_GoBack"/>
      <w:bookmarkEnd w:id="0"/>
    </w:p>
    <w:sectPr w:rsidR="00EB0AE2" w:rsidSect="0062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toneSans-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toneSerif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23F"/>
      </v:shape>
    </w:pict>
  </w:numPicBullet>
  <w:abstractNum w:abstractNumId="0">
    <w:nsid w:val="0D941650"/>
    <w:multiLevelType w:val="hybridMultilevel"/>
    <w:tmpl w:val="30F2FD4C"/>
    <w:lvl w:ilvl="0" w:tplc="968E2D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8BB1D96"/>
    <w:multiLevelType w:val="hybridMultilevel"/>
    <w:tmpl w:val="650AAADA"/>
    <w:lvl w:ilvl="0" w:tplc="DA2E9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E02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2B8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E630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A58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8F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05B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818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EDB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A4B1E17"/>
    <w:multiLevelType w:val="hybridMultilevel"/>
    <w:tmpl w:val="1BD88B8C"/>
    <w:lvl w:ilvl="0" w:tplc="FF26F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636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CA4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BE48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4AC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24D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4CAA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E79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860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1E69D6"/>
    <w:multiLevelType w:val="hybridMultilevel"/>
    <w:tmpl w:val="F502FD4E"/>
    <w:lvl w:ilvl="0" w:tplc="46E08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28A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C5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252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808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E6E2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866B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099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A6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30A24"/>
    <w:rsid w:val="00137300"/>
    <w:rsid w:val="001454AB"/>
    <w:rsid w:val="00153745"/>
    <w:rsid w:val="001A74F0"/>
    <w:rsid w:val="001C0579"/>
    <w:rsid w:val="001F381E"/>
    <w:rsid w:val="002B6E50"/>
    <w:rsid w:val="002D3608"/>
    <w:rsid w:val="00337A7A"/>
    <w:rsid w:val="00394B7A"/>
    <w:rsid w:val="003D61B6"/>
    <w:rsid w:val="004A645C"/>
    <w:rsid w:val="005069DA"/>
    <w:rsid w:val="00530FBA"/>
    <w:rsid w:val="00573955"/>
    <w:rsid w:val="00621106"/>
    <w:rsid w:val="00637053"/>
    <w:rsid w:val="00652073"/>
    <w:rsid w:val="006A5553"/>
    <w:rsid w:val="00805616"/>
    <w:rsid w:val="00832BE3"/>
    <w:rsid w:val="00843F3F"/>
    <w:rsid w:val="00931D3B"/>
    <w:rsid w:val="00937B07"/>
    <w:rsid w:val="00A26608"/>
    <w:rsid w:val="00B20374"/>
    <w:rsid w:val="00BC32DD"/>
    <w:rsid w:val="00C03F11"/>
    <w:rsid w:val="00CE326E"/>
    <w:rsid w:val="00D27C85"/>
    <w:rsid w:val="00D861A0"/>
    <w:rsid w:val="00DB5D71"/>
    <w:rsid w:val="00E1732D"/>
    <w:rsid w:val="00EE721C"/>
    <w:rsid w:val="00F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652073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SOSYALPED1347</cp:lastModifiedBy>
  <cp:revision>5</cp:revision>
  <dcterms:created xsi:type="dcterms:W3CDTF">2018-01-15T10:42:00Z</dcterms:created>
  <dcterms:modified xsi:type="dcterms:W3CDTF">2018-01-16T10:01:00Z</dcterms:modified>
</cp:coreProperties>
</file>