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2FDA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 w:rsidRPr="00AB2FDA">
              <w:rPr>
                <w:b/>
                <w:bCs/>
                <w:szCs w:val="16"/>
              </w:rPr>
              <w:t>190</w:t>
            </w:r>
            <w:r w:rsidR="00D05DDE">
              <w:rPr>
                <w:b/>
                <w:bCs/>
                <w:szCs w:val="16"/>
              </w:rPr>
              <w:t xml:space="preserve">66033 </w:t>
            </w:r>
            <w:r w:rsidRPr="00AB2FDA">
              <w:rPr>
                <w:b/>
                <w:bCs/>
                <w:szCs w:val="16"/>
              </w:rPr>
              <w:t>-</w:t>
            </w:r>
            <w:proofErr w:type="gramEnd"/>
            <w:r w:rsidRPr="00AB2FDA">
              <w:rPr>
                <w:b/>
                <w:bCs/>
                <w:szCs w:val="16"/>
              </w:rPr>
              <w:t xml:space="preserve"> Üçlü İş İlişkileri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1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Levent Akın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05D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Doktora </w:t>
            </w:r>
            <w:r w:rsidR="005E1BF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05D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AB2FDA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2F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İş hukukunda üçlü iş ilişkilerinin türlerinin kısaca ele alınması ve asıl işveren-alt işveren ilişkisinin tanımı, niteliği, bu ilişkinin kurulabilmesi için gerekli olan koşullar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Asıl işverenin alt işveren işçilerine karşı müteselsil sorumluluğu, Yasaya aykırı olarak kurulan alt işveren ilişkilerine uygulanacak yaptırım, muvazaalı alt işveren ilişkisi.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>Genel hükümler çerçevesinde muvazaalı asıl işveren alt işveren il</w:t>
            </w:r>
            <w:r>
              <w:rPr>
                <w:szCs w:val="16"/>
              </w:rPr>
              <w:t>i</w:t>
            </w:r>
            <w:r w:rsidRPr="00AB2FDA">
              <w:rPr>
                <w:szCs w:val="16"/>
              </w:rPr>
              <w:t>şkisinin değerlendirilmesi ve muvazaalı alt işveren ilişkisinin yaptırım</w:t>
            </w:r>
            <w:r>
              <w:rPr>
                <w:szCs w:val="16"/>
              </w:rPr>
              <w:t>ı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Asıl işveren alt işveren ilişkisinde kamu kurumları ile ilgili hükümler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Asıl işveren alt işveren ilişkisinde iş sağlığı ve güvenliği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İşyeri devri kavramı ve işyeri devrinden söz edebilmenin koşulları, işyeri devriyle ilgili yasal düzenlemelerin ele alınması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İşyeri devrinin bireysel iş sözleşmesi ve işçilik hakları üzerindeki etkisi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>İşyeri devrinin tarafların fesih hakkına etkisi, İşyer</w:t>
            </w:r>
            <w:r>
              <w:rPr>
                <w:szCs w:val="16"/>
              </w:rPr>
              <w:t>i</w:t>
            </w:r>
            <w:r w:rsidRPr="00AB2FDA">
              <w:rPr>
                <w:szCs w:val="16"/>
              </w:rPr>
              <w:t xml:space="preserve">nin kısmi devri ile asıl işveren alt işveren ilişkisi arasındaki ilişkisinin değerlendirilmesi ve işçinin değişen alt işverenler yanında çalışmaya devam etmesi hususu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Türk Ticaret Kanunu anlamında işyeri devri ve işyeri devrinin toplu iş hukuku yönünden doğurduğu sonuçlar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Ödünç iş ilişkisi kavramı ve türleri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Meslek edinilmiş ödünç iş ilişkisinin tarafları arasındaki hukuki ilişkiler ve bu ilişkinin kurulabilmesinin koşulları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Meslek edinilmiş ödünç iş ilişkisinde tarafların bireysel iş hukukundan doğan borçları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Meslek edinilmemiş ödünç iş ilişkisi, koşulları ve sonuçları </w:t>
            </w:r>
          </w:p>
          <w:p w:rsidR="00AB2FDA" w:rsidRPr="00AB2FDA" w:rsidRDefault="00AB2FDA" w:rsidP="00AB2FDA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İş sözleşmesinin devri, bu kapsamdaki yasal düzenlemeler, kavram ve unsurlarının açıklanması, ilgili Yargı kararlarının değerlendirilmesi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2FDA" w:rsidP="00832AEF">
            <w:pPr>
              <w:pStyle w:val="DersBilgileri"/>
              <w:rPr>
                <w:szCs w:val="16"/>
              </w:rPr>
            </w:pPr>
            <w:r w:rsidRPr="00AB2FDA">
              <w:rPr>
                <w:szCs w:val="16"/>
              </w:rPr>
              <w:t xml:space="preserve">Dersin temel amacı, üçlü iş ilişkilerine </w:t>
            </w:r>
            <w:proofErr w:type="gramStart"/>
            <w:r w:rsidRPr="00AB2FDA">
              <w:rPr>
                <w:szCs w:val="16"/>
              </w:rPr>
              <w:t>dair  temel</w:t>
            </w:r>
            <w:proofErr w:type="gramEnd"/>
            <w:r w:rsidRPr="00AB2FDA">
              <w:rPr>
                <w:szCs w:val="16"/>
              </w:rPr>
              <w:t xml:space="preserve"> kavram ve bilgileri sağlamak, ilgili kavram ve bilgileri son yasal düzenlemeleri takip ederek değerlendirme, yorum yapabilme becerisini vermek, üçlü iş ilişkileriyle ilgili uygulamada ortaya çıkan sorunları tartışma yetkinliği kazandırmak</w:t>
            </w:r>
            <w:r>
              <w:rPr>
                <w:szCs w:val="16"/>
              </w:rPr>
              <w:t>tı</w:t>
            </w:r>
            <w:r w:rsidRPr="00AB2FDA">
              <w:rPr>
                <w:szCs w:val="16"/>
              </w:rPr>
              <w:t xml:space="preserve">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2F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r w:rsidR="005E1BF2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1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E1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56790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bookmarkStart w:id="0" w:name="_GoBack"/>
            <w:bookmarkEnd w:id="0"/>
          </w:p>
        </w:tc>
        <w:tc>
          <w:tcPr>
            <w:tcW w:w="6068" w:type="dxa"/>
          </w:tcPr>
          <w:p w:rsidR="00C56790" w:rsidRPr="00C56790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 xml:space="preserve">Levent Akın, İş Sağlığı Güvenliği ve Alt İşverenlik, Ankara 2013. </w:t>
            </w:r>
            <w:r w:rsidRPr="00C56790">
              <w:rPr>
                <w:szCs w:val="16"/>
                <w:lang w:val="tr-TR"/>
              </w:rPr>
              <w:tab/>
            </w:r>
          </w:p>
          <w:p w:rsidR="00C56790" w:rsidRPr="00C56790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 xml:space="preserve">Sarper Süzek, İş Hukuku, Beta Basım Yayım Dağıtım A.Ş., İstanbul 2017. </w:t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</w:p>
          <w:p w:rsidR="00C56790" w:rsidRPr="00C56790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 xml:space="preserve">Nuri </w:t>
            </w:r>
            <w:proofErr w:type="gramStart"/>
            <w:r w:rsidRPr="00C56790">
              <w:rPr>
                <w:szCs w:val="16"/>
                <w:lang w:val="tr-TR"/>
              </w:rPr>
              <w:t>Çelik -</w:t>
            </w:r>
            <w:proofErr w:type="gramEnd"/>
            <w:r w:rsidRPr="00C56790">
              <w:rPr>
                <w:szCs w:val="16"/>
                <w:lang w:val="tr-TR"/>
              </w:rPr>
              <w:t xml:space="preserve"> Nurşen Caniklioğlu - Talat Canbolat, İş Hukuku Dersleri, Beta Basım Yayım Dağıtım A.Ş.,  İstanbul 2017. </w:t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</w:p>
          <w:p w:rsidR="00C56790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 xml:space="preserve">Ercüment Özkara, İşyeri Devrinin İş Sözleşmelerine Etkisi ve İşverenlerin Hukuki Sorumluluğu, İstanbul 2008. </w:t>
            </w:r>
            <w:r w:rsidRPr="00C56790">
              <w:rPr>
                <w:szCs w:val="16"/>
                <w:lang w:val="tr-TR"/>
              </w:rPr>
              <w:tab/>
            </w:r>
          </w:p>
          <w:p w:rsidR="00C56790" w:rsidRPr="00C56790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 xml:space="preserve">Serkan </w:t>
            </w:r>
            <w:proofErr w:type="spellStart"/>
            <w:r w:rsidRPr="00C56790">
              <w:rPr>
                <w:szCs w:val="16"/>
                <w:lang w:val="tr-TR"/>
              </w:rPr>
              <w:t>Odaman</w:t>
            </w:r>
            <w:proofErr w:type="spellEnd"/>
            <w:r w:rsidRPr="00C56790">
              <w:rPr>
                <w:szCs w:val="16"/>
                <w:lang w:val="tr-TR"/>
              </w:rPr>
              <w:t xml:space="preserve">, Türk ve Fransız İş Hukukunda Ödünç İş İlişkisi, İstanbul 2007. </w:t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</w:p>
          <w:p w:rsidR="00C56790" w:rsidRPr="00C56790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 xml:space="preserve">İş Hukukunda Üçlü İş İlişkileri, Kadir Has Üniversitesi Hukuk Fakültesi, Sempozyum, 4 Nisan 2009, İstanbul 2009. </w:t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</w:p>
          <w:p w:rsidR="005E1BF2" w:rsidRPr="001A2552" w:rsidRDefault="00C56790" w:rsidP="00C56790">
            <w:pPr>
              <w:pStyle w:val="Kaynakca"/>
              <w:tabs>
                <w:tab w:val="left" w:pos="720"/>
              </w:tabs>
              <w:spacing w:before="0" w:after="0"/>
              <w:ind w:left="157" w:firstLine="0"/>
              <w:rPr>
                <w:szCs w:val="16"/>
                <w:lang w:val="tr-TR"/>
              </w:rPr>
            </w:pP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  <w:r w:rsidRPr="00C56790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E1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C56790" w:rsidRPr="001A2552" w:rsidRDefault="00C56790">
      <w:pPr>
        <w:rPr>
          <w:sz w:val="16"/>
          <w:szCs w:val="16"/>
        </w:rPr>
      </w:pPr>
    </w:p>
    <w:sectPr w:rsidR="00C56790" w:rsidRPr="001A2552" w:rsidSect="00C5679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5E1BF2"/>
    <w:rsid w:val="00696C43"/>
    <w:rsid w:val="00832BE3"/>
    <w:rsid w:val="00AB2FDA"/>
    <w:rsid w:val="00BC32DD"/>
    <w:rsid w:val="00C56790"/>
    <w:rsid w:val="00D05DDE"/>
    <w:rsid w:val="00F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1D1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Çağla Erdoğan</cp:lastModifiedBy>
  <cp:revision>4</cp:revision>
  <dcterms:created xsi:type="dcterms:W3CDTF">2018-02-10T19:34:00Z</dcterms:created>
  <dcterms:modified xsi:type="dcterms:W3CDTF">2018-02-10T19:39:00Z</dcterms:modified>
</cp:coreProperties>
</file>