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06A5" w14:textId="77777777" w:rsidR="00133C28" w:rsidRPr="002F6F51" w:rsidRDefault="00133C28" w:rsidP="002F6F51">
      <w:pPr>
        <w:tabs>
          <w:tab w:val="left" w:pos="1080"/>
        </w:tabs>
        <w:spacing w:after="0" w:line="360" w:lineRule="auto"/>
        <w:jc w:val="both"/>
        <w:rPr>
          <w:rFonts w:ascii="Arial" w:hAnsi="Arial" w:cs="Arial"/>
          <w:b/>
          <w:color w:val="000000" w:themeColor="text1"/>
          <w:sz w:val="24"/>
          <w:szCs w:val="24"/>
        </w:rPr>
      </w:pPr>
      <w:bookmarkStart w:id="0" w:name="_GoBack"/>
      <w:r w:rsidRPr="002F6F51">
        <w:rPr>
          <w:rFonts w:ascii="Arial" w:hAnsi="Arial" w:cs="Arial"/>
          <w:b/>
          <w:color w:val="000000" w:themeColor="text1"/>
          <w:sz w:val="24"/>
          <w:szCs w:val="24"/>
        </w:rPr>
        <w:t>Sosyal Güvenlik Kavramı ve Tarihsel Gelişimi</w:t>
      </w:r>
    </w:p>
    <w:p w14:paraId="4D94BD49" w14:textId="77777777" w:rsidR="00133C28" w:rsidRPr="002F6F51" w:rsidRDefault="00133C28" w:rsidP="002F6F51">
      <w:pPr>
        <w:tabs>
          <w:tab w:val="left" w:pos="1080"/>
        </w:tabs>
        <w:spacing w:after="0" w:line="360" w:lineRule="auto"/>
        <w:jc w:val="both"/>
        <w:rPr>
          <w:rFonts w:ascii="Arial" w:hAnsi="Arial" w:cs="Arial"/>
          <w:b/>
          <w:color w:val="000000" w:themeColor="text1"/>
          <w:sz w:val="24"/>
          <w:szCs w:val="24"/>
        </w:rPr>
      </w:pPr>
    </w:p>
    <w:p w14:paraId="5E2E6F16"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İnsanlar hayatları boyunca gelirlerinde azalmaya yol açan ya da ek harcamalar yapmalarını gerektiren durumlarla karşılaşırlar. Örneğin hastalık, kaza, ölüm, doğum, evlilik gibi olaylar bireylerin maddi durumları üzerinde etkilidir. İnsanlık tarihine bakıldığında, kişilerin kendilerini yukarıda sayılan risklere ve benzerlerine karşı koruma altına almaya çalıştıkları görülmektedir. Sosyal güvenlik kavramının özünü de bireyin karşılaşacağı ve yaşamı için tehlike oluşturan olaylara karşı bir güvence arayışı oluşturmaktadır.</w:t>
      </w:r>
    </w:p>
    <w:p w14:paraId="36688977"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Sosyal güvenlik kavramının pek çok tanımı yapılmıştır. Bir tanıma göre sosyal güvenlik, bir ülke halkının bugününü ve yarınını güvence altına almayı amaçlayan ve birbiri arasında sıkı bir birlik ve uyum kurulmuş olan bir kurumlar bütünüdür. Başka bir deyişle, sosyal güvenlik bir mesleksel, fizyolojik veya sosyoekonomik riskten ötürü geliri veya kazancı sürekli veya geçici olarak kesilmiş kimselerin geçinme ve yaşama ihtiyaçlarını karşılayan bir sistemdir.</w:t>
      </w:r>
      <w:r w:rsidRPr="002F6F51">
        <w:rPr>
          <w:rStyle w:val="DipnotBavurusu"/>
          <w:rFonts w:ascii="Arial" w:hAnsi="Arial" w:cs="Arial"/>
          <w:color w:val="000000" w:themeColor="text1"/>
          <w:sz w:val="24"/>
          <w:szCs w:val="24"/>
        </w:rPr>
        <w:footnoteReference w:id="1"/>
      </w:r>
      <w:r w:rsidRPr="002F6F51">
        <w:rPr>
          <w:rFonts w:ascii="Arial" w:hAnsi="Arial" w:cs="Arial"/>
          <w:color w:val="000000" w:themeColor="text1"/>
          <w:sz w:val="24"/>
          <w:szCs w:val="24"/>
        </w:rPr>
        <w:t xml:space="preserve"> </w:t>
      </w:r>
    </w:p>
    <w:p w14:paraId="636E7857"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Diğer bir tanım ise sosyal güvenlik kavramını şu şekilde açıklamaktadır; Gelirleri ne olursa olsun, kişilere belirli sosyal riskler karşısında ekonomik güvence sağlama görevine sahip kurum ve kurumlar topluluğudur.</w:t>
      </w:r>
      <w:r w:rsidRPr="002F6F51">
        <w:rPr>
          <w:rStyle w:val="DipnotBavurusu"/>
          <w:rFonts w:ascii="Arial" w:hAnsi="Arial" w:cs="Arial"/>
          <w:color w:val="000000" w:themeColor="text1"/>
          <w:sz w:val="24"/>
          <w:szCs w:val="24"/>
        </w:rPr>
        <w:footnoteReference w:id="2"/>
      </w:r>
    </w:p>
    <w:p w14:paraId="200B80D7"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Uluslar arası Çalışma Örgütü’nün 1944 </w:t>
      </w:r>
      <w:proofErr w:type="spellStart"/>
      <w:r w:rsidRPr="002F6F51">
        <w:rPr>
          <w:rFonts w:ascii="Arial" w:hAnsi="Arial" w:cs="Arial"/>
          <w:color w:val="000000" w:themeColor="text1"/>
          <w:sz w:val="24"/>
          <w:szCs w:val="24"/>
        </w:rPr>
        <w:t>Philadelphia</w:t>
      </w:r>
      <w:proofErr w:type="spellEnd"/>
      <w:r w:rsidRPr="002F6F51">
        <w:rPr>
          <w:rFonts w:ascii="Arial" w:hAnsi="Arial" w:cs="Arial"/>
          <w:color w:val="000000" w:themeColor="text1"/>
          <w:sz w:val="24"/>
          <w:szCs w:val="24"/>
        </w:rPr>
        <w:t xml:space="preserve"> Konferansında yaptığı tanımlamaya göre ise sosyal güvenlik, halkın hastalık, işsizlik, yaşlılık, ölüm sebebiyle geçici veya sürekli olarak kazançtan yoksun kalması durumunda düşeceği yoksulluğa karşı, çocuk sayısının artması ve analık halinde korunmasına ilişkin alınması gereken önlemler sistemidir.</w:t>
      </w:r>
    </w:p>
    <w:p w14:paraId="745A8CC6"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güvenlik, hastalık, </w:t>
      </w:r>
      <w:proofErr w:type="spellStart"/>
      <w:r w:rsidRPr="002F6F51">
        <w:rPr>
          <w:rFonts w:ascii="Arial" w:hAnsi="Arial" w:cs="Arial"/>
          <w:color w:val="000000" w:themeColor="text1"/>
          <w:sz w:val="24"/>
          <w:szCs w:val="24"/>
        </w:rPr>
        <w:t>malüllük</w:t>
      </w:r>
      <w:proofErr w:type="spellEnd"/>
      <w:r w:rsidRPr="002F6F51">
        <w:rPr>
          <w:rFonts w:ascii="Arial" w:hAnsi="Arial" w:cs="Arial"/>
          <w:color w:val="000000" w:themeColor="text1"/>
          <w:sz w:val="24"/>
          <w:szCs w:val="24"/>
        </w:rPr>
        <w:t>, yaşlılık ya da işsizlik gibi nedenlere bağlı olarak gelir ve kazanç kaybına uğrayan kişilere yardımda bulunarak bu kimselerin insan onuruna yaraşır asgari bir yaşam sürmelerini sağlar. Sosyal güvenlik sistemi bu amacına ulaşmak için iki yöntem kullanır. Bunlar</w:t>
      </w:r>
    </w:p>
    <w:p w14:paraId="50D76B82" w14:textId="77777777" w:rsidR="00133C28" w:rsidRPr="002F6F51" w:rsidRDefault="00133C28" w:rsidP="002F6F51">
      <w:pPr>
        <w:pStyle w:val="ListeParagraf1"/>
        <w:numPr>
          <w:ilvl w:val="0"/>
          <w:numId w:val="1"/>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Sosyal yardımlar ve sosyal hizmetler</w:t>
      </w:r>
    </w:p>
    <w:p w14:paraId="7344437F" w14:textId="77777777" w:rsidR="00133C28" w:rsidRPr="002F6F51" w:rsidRDefault="00133C28" w:rsidP="002F6F51">
      <w:pPr>
        <w:pStyle w:val="ListeParagraf1"/>
        <w:numPr>
          <w:ilvl w:val="0"/>
          <w:numId w:val="1"/>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Sosyal sigortalar</w:t>
      </w:r>
    </w:p>
    <w:p w14:paraId="1CDE6735"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Bu iki yöntem arasındaki fark ise sosyal yardımlar ve sosyal hizmetlere ilgililerin maddi katkısının olmaması, devlet ya da gönüllü kuruluşlar eliyle bu yöntemin </w:t>
      </w:r>
      <w:r w:rsidRPr="002F6F51">
        <w:rPr>
          <w:rFonts w:ascii="Arial" w:hAnsi="Arial" w:cs="Arial"/>
          <w:color w:val="000000" w:themeColor="text1"/>
          <w:sz w:val="24"/>
          <w:szCs w:val="24"/>
        </w:rPr>
        <w:lastRenderedPageBreak/>
        <w:t>işletilmesidir. Sosyal sigortalarda ise ilgililer, yani yardımdan faydalanacak kişiler, sisteme maddi katkıda bulunurlar. Bu nedenden dolayı sosyal sigortalar yöntemine “primli rejim”, sosyal yardımlar ve sosyal hizmetlere ise “primsiz rejim” denilmektedir.</w:t>
      </w:r>
    </w:p>
    <w:p w14:paraId="1B2A30B3"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
    <w:p w14:paraId="3C9B11B4"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
    <w:p w14:paraId="2402F598" w14:textId="77777777" w:rsidR="00133C28" w:rsidRPr="002F6F51" w:rsidRDefault="00133C28" w:rsidP="002F6F51">
      <w:pPr>
        <w:tabs>
          <w:tab w:val="left" w:pos="1080"/>
        </w:tabs>
        <w:spacing w:after="0" w:line="360" w:lineRule="auto"/>
        <w:jc w:val="both"/>
        <w:rPr>
          <w:rFonts w:ascii="Arial" w:hAnsi="Arial" w:cs="Arial"/>
          <w:b/>
          <w:color w:val="000000" w:themeColor="text1"/>
          <w:sz w:val="24"/>
          <w:szCs w:val="24"/>
        </w:rPr>
      </w:pPr>
      <w:r w:rsidRPr="002F6F51">
        <w:rPr>
          <w:rFonts w:ascii="Arial" w:hAnsi="Arial" w:cs="Arial"/>
          <w:b/>
          <w:color w:val="000000" w:themeColor="text1"/>
          <w:sz w:val="24"/>
          <w:szCs w:val="24"/>
        </w:rPr>
        <w:t>Sosyal Risk</w:t>
      </w:r>
    </w:p>
    <w:p w14:paraId="20947B79"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
    <w:p w14:paraId="7B518DB8"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güvenlik kavramının tanımında bireyleri kazanç kaybına uğratacak çeşitli risklerin yer aldığı görülmektedir. Sosyal güvenlik hukukunda bu riskler “sosyal risk” olarak adlandırılmaktadır. Sosyal risk, ne zaman gerçekleşeceği bilinmemekle birlikte ileride gerçekleşmesi olası ya da kesin olan ve buna maruz kalan kişinin gelirinde azalmaya neden olacak olaylardır. Bireyleri geçici veya sürekli kazanç kaybına uğratabilecek bu risklerin bir kısmı kaçınılmazdır. Örneğin kişilerin yaşlanması ve ölmesi kaçınılmaz, geçekleşeceği kesin risklerdir. Bir diğer grup ise gerçekleşip gerçekleşmeyeceği şüpheli olan sosyal risklerdir. Bunlar da hastalık, kaza, maluliyet, işsizliktir. Evlenme ve çocuk sahibi olma durumları ise iradi sosyal risklerdir. </w:t>
      </w:r>
    </w:p>
    <w:p w14:paraId="02B6D7F7"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Sosyal riskler aşağıdaki gibi bir sınıflandırmaya da tabi tutulabilirler.</w:t>
      </w:r>
    </w:p>
    <w:p w14:paraId="3B87C59E"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roofErr w:type="spellStart"/>
      <w:r w:rsidRPr="002F6F51">
        <w:rPr>
          <w:rFonts w:ascii="Arial" w:hAnsi="Arial" w:cs="Arial"/>
          <w:color w:val="000000" w:themeColor="text1"/>
          <w:sz w:val="24"/>
          <w:szCs w:val="24"/>
        </w:rPr>
        <w:t>I.Mesleki</w:t>
      </w:r>
      <w:proofErr w:type="spellEnd"/>
      <w:r w:rsidRPr="002F6F51">
        <w:rPr>
          <w:rFonts w:ascii="Arial" w:hAnsi="Arial" w:cs="Arial"/>
          <w:color w:val="000000" w:themeColor="text1"/>
          <w:sz w:val="24"/>
          <w:szCs w:val="24"/>
        </w:rPr>
        <w:t xml:space="preserve"> riskler: İş kazaları ve meslek hastalıkları</w:t>
      </w:r>
    </w:p>
    <w:p w14:paraId="62B522A7"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II. Fizyolojik riskler: Hastalık, </w:t>
      </w:r>
      <w:proofErr w:type="spellStart"/>
      <w:r w:rsidRPr="002F6F51">
        <w:rPr>
          <w:rFonts w:ascii="Arial" w:hAnsi="Arial" w:cs="Arial"/>
          <w:color w:val="000000" w:themeColor="text1"/>
          <w:sz w:val="24"/>
          <w:szCs w:val="24"/>
        </w:rPr>
        <w:t>analık,maluliyet</w:t>
      </w:r>
      <w:proofErr w:type="spellEnd"/>
      <w:r w:rsidRPr="002F6F51">
        <w:rPr>
          <w:rFonts w:ascii="Arial" w:hAnsi="Arial" w:cs="Arial"/>
          <w:color w:val="000000" w:themeColor="text1"/>
          <w:sz w:val="24"/>
          <w:szCs w:val="24"/>
        </w:rPr>
        <w:t>, yaşlılık, ölüm.</w:t>
      </w:r>
    </w:p>
    <w:p w14:paraId="59FF52DC"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roofErr w:type="spellStart"/>
      <w:r w:rsidRPr="002F6F51">
        <w:rPr>
          <w:rFonts w:ascii="Arial" w:hAnsi="Arial" w:cs="Arial"/>
          <w:color w:val="000000" w:themeColor="text1"/>
          <w:sz w:val="24"/>
          <w:szCs w:val="24"/>
        </w:rPr>
        <w:t>III.Sosyo</w:t>
      </w:r>
      <w:proofErr w:type="spellEnd"/>
      <w:r w:rsidRPr="002F6F51">
        <w:rPr>
          <w:rFonts w:ascii="Arial" w:hAnsi="Arial" w:cs="Arial"/>
          <w:color w:val="000000" w:themeColor="text1"/>
          <w:sz w:val="24"/>
          <w:szCs w:val="24"/>
        </w:rPr>
        <w:t>-ekonomik riskler: İşsizlik ve ailevi yükler (evlenme ve çocuk yetiştirme)</w:t>
      </w:r>
    </w:p>
    <w:p w14:paraId="331A94DE" w14:textId="77777777" w:rsidR="00133C28" w:rsidRPr="002F6F51" w:rsidRDefault="00133C28" w:rsidP="002F6F51">
      <w:pPr>
        <w:tabs>
          <w:tab w:val="left" w:pos="1080"/>
        </w:tabs>
        <w:spacing w:after="0" w:line="360" w:lineRule="auto"/>
        <w:ind w:firstLine="720"/>
        <w:jc w:val="both"/>
        <w:rPr>
          <w:rFonts w:ascii="Arial" w:hAnsi="Arial" w:cs="Arial"/>
          <w:color w:val="000000" w:themeColor="text1"/>
          <w:sz w:val="24"/>
          <w:szCs w:val="24"/>
        </w:rPr>
      </w:pPr>
    </w:p>
    <w:p w14:paraId="1DCDE569" w14:textId="77777777" w:rsidR="00133C28" w:rsidRPr="002F6F51" w:rsidRDefault="00133C28" w:rsidP="002F6F51">
      <w:pPr>
        <w:pStyle w:val="ListeParagraf1"/>
        <w:tabs>
          <w:tab w:val="left" w:pos="1080"/>
        </w:tabs>
        <w:spacing w:after="0" w:line="360" w:lineRule="auto"/>
        <w:ind w:left="0"/>
        <w:jc w:val="both"/>
        <w:rPr>
          <w:rFonts w:ascii="Arial" w:hAnsi="Arial" w:cs="Arial"/>
          <w:b/>
          <w:color w:val="000000" w:themeColor="text1"/>
          <w:sz w:val="24"/>
          <w:szCs w:val="24"/>
        </w:rPr>
      </w:pPr>
      <w:r w:rsidRPr="002F6F51">
        <w:rPr>
          <w:rFonts w:ascii="Arial" w:hAnsi="Arial" w:cs="Arial"/>
          <w:b/>
          <w:color w:val="000000" w:themeColor="text1"/>
          <w:sz w:val="24"/>
          <w:szCs w:val="24"/>
        </w:rPr>
        <w:t>Sosyal sigortalar</w:t>
      </w:r>
    </w:p>
    <w:p w14:paraId="7EE6C209" w14:textId="77777777" w:rsidR="00133C28" w:rsidRPr="002F6F51" w:rsidRDefault="00133C28" w:rsidP="002F6F51">
      <w:pPr>
        <w:pStyle w:val="ListeParagraf1"/>
        <w:tabs>
          <w:tab w:val="left" w:pos="1080"/>
        </w:tabs>
        <w:spacing w:after="0" w:line="360" w:lineRule="auto"/>
        <w:ind w:left="1418" w:firstLine="720"/>
        <w:jc w:val="both"/>
        <w:rPr>
          <w:rFonts w:ascii="Arial" w:hAnsi="Arial" w:cs="Arial"/>
          <w:color w:val="000000" w:themeColor="text1"/>
          <w:sz w:val="24"/>
          <w:szCs w:val="24"/>
        </w:rPr>
      </w:pPr>
    </w:p>
    <w:p w14:paraId="75AECBC0"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En gelişmiş ve yaygın sosyal güvenlik tekniğidir. Bir ülkede çalışanların maruz kalabilecekleri risklere karşı, zorunluluk esasına dayalı olarak, çalışanlar ve işverenlerin katılımını öngören, devlet tarafından kurulup örgütlenen ancak özerk yapıya sahip kuruluşlar eliyle yürütülen bir yöntemdir.</w:t>
      </w:r>
    </w:p>
    <w:p w14:paraId="4DCB87F3"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güvenlik sisteminde çalışanlar ve işverenler de maddi katkıda bulunduklarından “primli sosyal güvenlik rejimi” olarak isimlendirilir. Devlet de sosyal güvenlik sistemine mali destekte bulunur. </w:t>
      </w:r>
    </w:p>
    <w:p w14:paraId="142B5138"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Özel sigortalardan, sisteme katılımın zorunlu olması, devlet eliyle kurulup örgütlenmesi, belli sayıda riski kapsamına alması konularında ayrılır. Bunların yanı sıra ilgililerin ödeyeceği prim, rizikonun ağırlığına göre değil, çalışanların elde ettiği gelir üzerinden belirlenir. Çalışanların gelirleri yükseldikçe ödedikleri prim de artmaktadır. </w:t>
      </w:r>
    </w:p>
    <w:p w14:paraId="5CD77FF3"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sigorta, sosyal devlet ilkesinin gereği olarak zayıfı korumayı, sigortalılar arasında denge sağlamayı amaçlar. </w:t>
      </w:r>
    </w:p>
    <w:p w14:paraId="5254665E"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Türkiye’nin de taraf olduğu ILO’nun 102 sayılı “Sosyal Güvenliğin Asgari Normları Hakkında Sözleşme” uyarınca sosyal sigortanın dokuz ana kolu vardır. Bunlar; </w:t>
      </w:r>
    </w:p>
    <w:p w14:paraId="0AE7FCDE"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Hastalık halinde sağlık yardımları</w:t>
      </w:r>
    </w:p>
    <w:p w14:paraId="00DC8687"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Hastalık ödenekleri</w:t>
      </w:r>
    </w:p>
    <w:p w14:paraId="27218D29"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Analık</w:t>
      </w:r>
    </w:p>
    <w:p w14:paraId="4D312680"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Sakatlık</w:t>
      </w:r>
    </w:p>
    <w:p w14:paraId="719EE236"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Yaşlılık</w:t>
      </w:r>
    </w:p>
    <w:p w14:paraId="775934BD"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İş kazası ve meslek hastalığı</w:t>
      </w:r>
    </w:p>
    <w:p w14:paraId="34493211"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 xml:space="preserve">Ölüm </w:t>
      </w:r>
    </w:p>
    <w:p w14:paraId="7712964E"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Aile Yardımları</w:t>
      </w:r>
    </w:p>
    <w:p w14:paraId="1F1D3044" w14:textId="77777777" w:rsidR="00133C28" w:rsidRPr="002F6F51" w:rsidRDefault="00133C28" w:rsidP="002F6F51">
      <w:pPr>
        <w:pStyle w:val="ListeParagraf1"/>
        <w:numPr>
          <w:ilvl w:val="0"/>
          <w:numId w:val="2"/>
        </w:numPr>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İşsizlik</w:t>
      </w:r>
    </w:p>
    <w:p w14:paraId="3DD152FB" w14:textId="77777777" w:rsidR="00133C28" w:rsidRPr="002F6F51" w:rsidRDefault="00133C28" w:rsidP="002F6F51">
      <w:pPr>
        <w:pStyle w:val="ListeParagraf1"/>
        <w:tabs>
          <w:tab w:val="left" w:pos="1080"/>
        </w:tabs>
        <w:spacing w:after="0" w:line="360" w:lineRule="auto"/>
        <w:ind w:left="0" w:firstLine="720"/>
        <w:jc w:val="both"/>
        <w:rPr>
          <w:rFonts w:ascii="Arial" w:hAnsi="Arial" w:cs="Arial"/>
          <w:color w:val="000000" w:themeColor="text1"/>
          <w:sz w:val="24"/>
          <w:szCs w:val="24"/>
        </w:rPr>
      </w:pPr>
      <w:r w:rsidRPr="002F6F51">
        <w:rPr>
          <w:rFonts w:ascii="Arial" w:hAnsi="Arial" w:cs="Arial"/>
          <w:color w:val="000000" w:themeColor="text1"/>
          <w:sz w:val="24"/>
          <w:szCs w:val="24"/>
        </w:rPr>
        <w:t>Türkiye’de “aile yardımları” dışındaki sosyal sigorta kolları uygulanmaktadır.</w:t>
      </w:r>
    </w:p>
    <w:p w14:paraId="22693C74" w14:textId="77777777" w:rsidR="00133C28" w:rsidRPr="002F6F51" w:rsidRDefault="00133C28" w:rsidP="002F6F51">
      <w:pPr>
        <w:pStyle w:val="ListeParagraf1"/>
        <w:tabs>
          <w:tab w:val="left" w:pos="1080"/>
        </w:tabs>
        <w:spacing w:after="0" w:line="360" w:lineRule="auto"/>
        <w:ind w:left="1418" w:firstLine="720"/>
        <w:jc w:val="both"/>
        <w:rPr>
          <w:rFonts w:ascii="Arial" w:hAnsi="Arial" w:cs="Arial"/>
          <w:color w:val="000000" w:themeColor="text1"/>
          <w:sz w:val="24"/>
          <w:szCs w:val="24"/>
        </w:rPr>
      </w:pPr>
    </w:p>
    <w:p w14:paraId="3A40FCBE" w14:textId="77777777" w:rsidR="00133C28" w:rsidRPr="002F6F51" w:rsidRDefault="00133C28" w:rsidP="002F6F51">
      <w:pPr>
        <w:pStyle w:val="ListeParagraf1"/>
        <w:tabs>
          <w:tab w:val="left" w:pos="1080"/>
        </w:tabs>
        <w:spacing w:after="0" w:line="360" w:lineRule="auto"/>
        <w:ind w:left="0"/>
        <w:jc w:val="both"/>
        <w:rPr>
          <w:rFonts w:ascii="Arial" w:hAnsi="Arial" w:cs="Arial"/>
          <w:b/>
          <w:color w:val="000000" w:themeColor="text1"/>
          <w:sz w:val="24"/>
          <w:szCs w:val="24"/>
        </w:rPr>
      </w:pPr>
      <w:r w:rsidRPr="002F6F51">
        <w:rPr>
          <w:rFonts w:ascii="Arial" w:hAnsi="Arial" w:cs="Arial"/>
          <w:b/>
          <w:color w:val="000000" w:themeColor="text1"/>
          <w:sz w:val="24"/>
          <w:szCs w:val="24"/>
        </w:rPr>
        <w:t>Sosyal yardımlar ve sosyal hizmetler</w:t>
      </w:r>
    </w:p>
    <w:p w14:paraId="6A2CCD41" w14:textId="77777777" w:rsidR="00133C28" w:rsidRPr="002F6F51" w:rsidRDefault="00133C28" w:rsidP="002F6F51">
      <w:pPr>
        <w:pStyle w:val="ListeParagraf1"/>
        <w:tabs>
          <w:tab w:val="left" w:pos="1080"/>
        </w:tabs>
        <w:spacing w:after="0" w:line="360" w:lineRule="auto"/>
        <w:ind w:left="1418" w:firstLine="720"/>
        <w:jc w:val="both"/>
        <w:rPr>
          <w:rFonts w:ascii="Arial" w:hAnsi="Arial" w:cs="Arial"/>
          <w:color w:val="000000" w:themeColor="text1"/>
          <w:sz w:val="24"/>
          <w:szCs w:val="24"/>
        </w:rPr>
      </w:pPr>
    </w:p>
    <w:p w14:paraId="53CB1459" w14:textId="77777777" w:rsidR="00133C28" w:rsidRPr="002F6F51" w:rsidRDefault="00133C28" w:rsidP="002F6F51">
      <w:pPr>
        <w:pStyle w:val="ListeParagraf1"/>
        <w:tabs>
          <w:tab w:val="left" w:pos="1080"/>
        </w:tabs>
        <w:spacing w:after="0" w:line="360" w:lineRule="auto"/>
        <w:ind w:left="0" w:firstLine="709"/>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sigortalar ile sosyal yardımlar ve sosyal hizmetler günümüzde sosyal güvenliğin iki ana kolunu oluşturmaktadır. Sosyal yardımlar ve sosyal hizmetler 19.yüzyılın başlarında İskandinav ülkelerinde uygulanmaya başlamış, buradan da diğer ülkelere yayılmıştır. </w:t>
      </w:r>
    </w:p>
    <w:p w14:paraId="30D87D17" w14:textId="77777777" w:rsidR="00133C28" w:rsidRPr="002F6F51" w:rsidRDefault="00133C28" w:rsidP="002F6F51">
      <w:pPr>
        <w:pStyle w:val="ListeParagraf1"/>
        <w:tabs>
          <w:tab w:val="left" w:pos="1080"/>
        </w:tabs>
        <w:spacing w:after="0" w:line="360" w:lineRule="auto"/>
        <w:ind w:left="0" w:firstLine="709"/>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sigortalar ile kıyaslandığında dünya genelinde daha az kapsamlı ve örgütlü olan sosyal yardımlar ve sosyal hizmetler, toplumda bulunan muhtaç, yoksul, yaşlı, özürlü kişilere uygulanmaktadır. Görüldüğü üzere kapsam açısından sosyal sigortalar ile kıyaslandığında oldukça dardır. Bunun yanı sıra sosyal yardımlar ve sosyal hizmetler devlet bütçesinden karşılanır, bu yardımlardan faydalanan kimselerin sisteme herhangi bir parasal katkı yapmaları gerekmemektedir. Bu nedenden dolayı da sosyal yardımlar ve sosyal hizmetlere “primsiz sosyal güvenlik rejimi” de denilmektedir. Sosyal yardımlar ve sosyal hizmetler sadece devletin topladığı vergilerle finanse edilmektedir. </w:t>
      </w:r>
    </w:p>
    <w:p w14:paraId="7C439E43" w14:textId="77777777" w:rsidR="00133C28" w:rsidRPr="002F6F51" w:rsidRDefault="00133C28" w:rsidP="002F6F51">
      <w:pPr>
        <w:pStyle w:val="ListeParagraf1"/>
        <w:tabs>
          <w:tab w:val="left" w:pos="1080"/>
        </w:tabs>
        <w:spacing w:after="0" w:line="360" w:lineRule="auto"/>
        <w:ind w:left="0" w:firstLine="709"/>
        <w:jc w:val="both"/>
        <w:rPr>
          <w:rFonts w:ascii="Arial" w:hAnsi="Arial" w:cs="Arial"/>
          <w:color w:val="000000" w:themeColor="text1"/>
          <w:sz w:val="24"/>
          <w:szCs w:val="24"/>
        </w:rPr>
      </w:pPr>
    </w:p>
    <w:p w14:paraId="491B7869" w14:textId="77777777" w:rsidR="00133C28" w:rsidRPr="002F6F51" w:rsidRDefault="00133C28" w:rsidP="002F6F51">
      <w:pPr>
        <w:tabs>
          <w:tab w:val="left" w:pos="1080"/>
        </w:tabs>
        <w:spacing w:after="0" w:line="360" w:lineRule="auto"/>
        <w:ind w:firstLine="142"/>
        <w:jc w:val="both"/>
        <w:rPr>
          <w:rFonts w:ascii="Arial" w:hAnsi="Arial" w:cs="Arial"/>
          <w:b/>
          <w:color w:val="000000" w:themeColor="text1"/>
          <w:sz w:val="24"/>
          <w:szCs w:val="24"/>
        </w:rPr>
      </w:pPr>
      <w:r w:rsidRPr="002F6F51">
        <w:rPr>
          <w:rFonts w:ascii="Arial" w:hAnsi="Arial" w:cs="Arial"/>
          <w:b/>
          <w:color w:val="000000" w:themeColor="text1"/>
          <w:sz w:val="24"/>
          <w:szCs w:val="24"/>
        </w:rPr>
        <w:t>Sosyal Güvenliğin Hukuk Sistemi İçindeki Yeri</w:t>
      </w:r>
    </w:p>
    <w:p w14:paraId="3DE72897"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p>
    <w:p w14:paraId="680CF787"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Sosyal güvenlik hakkı insan hakları içinde yer almaktadır. İnsan Hakları Evrensel Beyannamesinin 22.maddesi her insanın sosyal güvenlik hakkına sahip olduğunu hükme bağlamıştır. Bu esas Anayasanın 60.maddesinde de yer almıştır. Sosyal güvenlik hakkı, kişinin elinden alınamaz. Aynı zamanda sosyal güvenlik hakkından vazgeçmek de mümkün değildir.</w:t>
      </w:r>
    </w:p>
    <w:p w14:paraId="5480EB9B"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Sosyal güvenlik hakkı herkes için tanınmıştır</w:t>
      </w:r>
      <w:r w:rsidRPr="002F6F51">
        <w:rPr>
          <w:rFonts w:ascii="Arial" w:hAnsi="Arial" w:cs="Arial"/>
          <w:b/>
          <w:color w:val="000000" w:themeColor="text1"/>
          <w:sz w:val="24"/>
          <w:szCs w:val="24"/>
        </w:rPr>
        <w:t xml:space="preserve">. </w:t>
      </w:r>
      <w:r w:rsidRPr="002F6F51">
        <w:rPr>
          <w:rFonts w:ascii="Arial" w:hAnsi="Arial" w:cs="Arial"/>
          <w:color w:val="000000" w:themeColor="text1"/>
          <w:sz w:val="24"/>
          <w:szCs w:val="24"/>
        </w:rPr>
        <w:t>Daha açık bir anlatımla, kişiler arasında hiçbir ayrım gözetilmeksizin devlet, herkes için sosyal güvenlik sağlamakla yükümlüdür. Devlet, sosyal güvenlik hakkının sağlanmasında,  toplumda yaşayan herkes için, insan onuruna yaraşan asgari bir düzeyi sağlamakla yükümlüdür. Bu esas sosyal güvenlikte genellik ilkesi olarak da ifade edilir. Bu ilke uyarınca devletin amaçları arasında, herkesin sosyal güvenlik hakkından insan onuruna yaraşacak bir düzeyde yararlanması yer almaktadır.</w:t>
      </w:r>
    </w:p>
    <w:p w14:paraId="70DB72EC" w14:textId="77777777" w:rsidR="00133C28" w:rsidRPr="002F6F51" w:rsidRDefault="00133C28" w:rsidP="002F6F51">
      <w:pPr>
        <w:pStyle w:val="NormalWeb"/>
        <w:tabs>
          <w:tab w:val="left" w:pos="1080"/>
        </w:tabs>
        <w:spacing w:before="0" w:beforeAutospacing="0" w:after="0" w:afterAutospacing="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Sosyal güvenlik hakkı 1982 Anayasasının üçüncü bölümünü oluşturan “Ekonomik ve Sosyal Haklar ve Ödevler ” kısmında düzenlenmiştir. Anayasanın 61.maddesi uyarınca; “Herkes, sosyal güvenlik hakkına sahiptir. Devlet, bu güvenliği sağlayacak gerekli tedbirleri alır ve teşkilatı kurar.”</w:t>
      </w:r>
    </w:p>
    <w:p w14:paraId="2DD4AADE"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Sosyal güvenlik hakkını sağlamak, Anayasanın 61.maddesinde ifade edildiği üzere devlet için bir ödevdir. Ancak bu ödev ister istemez devletin ekonomik olanakları ile ilişkili şekilde yerine getirilebilir. Anayasanın 65.maddesi hükmü bu esası belirtmektedir. Anılan madde şu şekildedir; “Devlet, sosyal ve ekonomik alanlarda Anayasa ile belirlenen görevlerini, bu görevlerin amaçlarına uygun öncelikleri gözeterek malî kaynaklarının yeterliliği ölçüsünde yerine getirir.”</w:t>
      </w:r>
    </w:p>
    <w:p w14:paraId="52ABC61D"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Sosyal güvenlik ile ilgili olan Anayasa maddeleri sadece bunlardan ibaret değildir. Türkiye Cumhuriyeti’nin “sosyal bir devlet” olduğunu hükme bağlayan 2.madde başta olmak üzere, devletin kişilerin ve toplumun huzur ve refahını sağlama, insanın maddi ve manevi varlığını geliştirme amaç ve görevi (md.5), insanın yaşama, maddi ve manevi varlığını (kişiliğini) koruma ve geliştirme hakkı (md.17), eşitlik ilkesi (md.10), ailenin ve çocuğun korunması (md.41), çalışma hakkı ve devletin işsizliği önleyici tedbir alma ödevi (md.49), ücrette adalet sağlanması (md.55), kişinin sağlıklı ve dengeli bir çevrede yaşama hakkı (md.56) ve konut hakkı (md.57) da sosyal güvenlik hakkı ile ilişkilidirler.</w:t>
      </w:r>
    </w:p>
    <w:p w14:paraId="22DC1A9B" w14:textId="77777777" w:rsidR="00133C28" w:rsidRPr="002F6F51" w:rsidRDefault="00133C28" w:rsidP="002F6F51">
      <w:pPr>
        <w:tabs>
          <w:tab w:val="left" w:pos="1080"/>
        </w:tabs>
        <w:spacing w:after="0" w:line="360" w:lineRule="auto"/>
        <w:ind w:left="720" w:firstLine="414"/>
        <w:jc w:val="both"/>
        <w:rPr>
          <w:rFonts w:ascii="Arial" w:hAnsi="Arial" w:cs="Arial"/>
          <w:color w:val="000000" w:themeColor="text1"/>
          <w:sz w:val="24"/>
          <w:szCs w:val="24"/>
        </w:rPr>
      </w:pPr>
      <w:r w:rsidRPr="002F6F51">
        <w:rPr>
          <w:rFonts w:ascii="Arial" w:hAnsi="Arial" w:cs="Arial"/>
          <w:color w:val="000000" w:themeColor="text1"/>
          <w:sz w:val="24"/>
          <w:szCs w:val="24"/>
        </w:rPr>
        <w:t xml:space="preserve">Sosyal güvenlik hukukunda, devlet-kurum-kişi arasında üçlü bir kamu hukuku ilişkisi vardır. Sigortalılar açısından zorunluluk esasına dayalı bir ilişki söz konusudur. Bu ilişkide sigortalı ile Kurum arasında özel hukuk ilişkilerinde olduğu gibi bir eşitlik değil tam tersine bir altlık-üstlük ilişkisi vardır. Bütün bu özelliklerinden dolayı sosyal güvenlik hukuku kamu hukukuna dahildir. </w:t>
      </w:r>
    </w:p>
    <w:p w14:paraId="70F57E81" w14:textId="77777777" w:rsidR="00841A96" w:rsidRPr="002F6F51" w:rsidRDefault="00841A96" w:rsidP="002F6F51">
      <w:pPr>
        <w:spacing w:line="360" w:lineRule="auto"/>
        <w:rPr>
          <w:rFonts w:ascii="Arial" w:hAnsi="Arial" w:cs="Arial"/>
          <w:sz w:val="24"/>
          <w:szCs w:val="24"/>
        </w:rPr>
      </w:pPr>
    </w:p>
    <w:bookmarkEnd w:id="0"/>
    <w:sectPr w:rsidR="00841A96" w:rsidRPr="002F6F51" w:rsidSect="00F16C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C3DA" w14:textId="77777777" w:rsidR="00036EB7" w:rsidRDefault="00036EB7" w:rsidP="00133C28">
      <w:pPr>
        <w:spacing w:after="0" w:line="240" w:lineRule="auto"/>
      </w:pPr>
      <w:r>
        <w:separator/>
      </w:r>
    </w:p>
  </w:endnote>
  <w:endnote w:type="continuationSeparator" w:id="0">
    <w:p w14:paraId="63C100B2" w14:textId="77777777" w:rsidR="00036EB7" w:rsidRDefault="00036EB7" w:rsidP="001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9394" w14:textId="77777777" w:rsidR="00036EB7" w:rsidRDefault="00036EB7" w:rsidP="00133C28">
      <w:pPr>
        <w:spacing w:after="0" w:line="240" w:lineRule="auto"/>
      </w:pPr>
      <w:r>
        <w:separator/>
      </w:r>
    </w:p>
  </w:footnote>
  <w:footnote w:type="continuationSeparator" w:id="0">
    <w:p w14:paraId="557F2631" w14:textId="77777777" w:rsidR="00036EB7" w:rsidRDefault="00036EB7" w:rsidP="00133C28">
      <w:pPr>
        <w:spacing w:after="0" w:line="240" w:lineRule="auto"/>
      </w:pPr>
      <w:r>
        <w:continuationSeparator/>
      </w:r>
    </w:p>
  </w:footnote>
  <w:footnote w:id="1">
    <w:p w14:paraId="4D18274A" w14:textId="77777777" w:rsidR="00133C28" w:rsidRPr="00200899" w:rsidRDefault="00133C28" w:rsidP="00133C28">
      <w:pPr>
        <w:pStyle w:val="DipnotMetni"/>
        <w:spacing w:after="0"/>
        <w:ind w:left="1134" w:hanging="283"/>
        <w:rPr>
          <w:rFonts w:ascii="Arial" w:hAnsi="Arial" w:cs="Arial"/>
        </w:rPr>
      </w:pPr>
      <w:r w:rsidRPr="00200899">
        <w:rPr>
          <w:rStyle w:val="DipnotBavurusu"/>
          <w:rFonts w:ascii="Arial" w:hAnsi="Arial" w:cs="Arial"/>
        </w:rPr>
        <w:footnoteRef/>
      </w:r>
      <w:r w:rsidRPr="00200899">
        <w:rPr>
          <w:rFonts w:ascii="Arial" w:hAnsi="Arial" w:cs="Arial"/>
        </w:rPr>
        <w:t xml:space="preserve"> Talas, Cahit, Sosyal Ekonomi, 6.Bası, Ankara 1983</w:t>
      </w:r>
    </w:p>
  </w:footnote>
  <w:footnote w:id="2">
    <w:p w14:paraId="32A82E61" w14:textId="77777777" w:rsidR="00133C28" w:rsidRPr="00200899" w:rsidRDefault="00133C28" w:rsidP="00133C28">
      <w:pPr>
        <w:pStyle w:val="DipnotMetni"/>
        <w:spacing w:after="0"/>
        <w:ind w:left="1134" w:hanging="283"/>
        <w:rPr>
          <w:rFonts w:ascii="Arial" w:hAnsi="Arial" w:cs="Arial"/>
        </w:rPr>
      </w:pPr>
      <w:r w:rsidRPr="00200899">
        <w:rPr>
          <w:rStyle w:val="DipnotBavurusu"/>
          <w:rFonts w:ascii="Arial" w:hAnsi="Arial" w:cs="Arial"/>
        </w:rPr>
        <w:footnoteRef/>
      </w:r>
      <w:r w:rsidRPr="00200899">
        <w:rPr>
          <w:rFonts w:ascii="Arial" w:hAnsi="Arial" w:cs="Arial"/>
        </w:rPr>
        <w:t xml:space="preserve"> </w:t>
      </w:r>
      <w:proofErr w:type="spellStart"/>
      <w:r w:rsidRPr="00200899">
        <w:rPr>
          <w:rFonts w:ascii="Arial" w:hAnsi="Arial" w:cs="Arial"/>
        </w:rPr>
        <w:t>Tunçomağ</w:t>
      </w:r>
      <w:proofErr w:type="spellEnd"/>
      <w:r w:rsidRPr="00200899">
        <w:rPr>
          <w:rFonts w:ascii="Arial" w:hAnsi="Arial" w:cs="Arial"/>
        </w:rPr>
        <w:t>, Kenan, Sosyal Güvenlik Kavramı ve Sosyal Sigortalar, 5.B, İstanbul 1990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C1693"/>
    <w:multiLevelType w:val="hybridMultilevel"/>
    <w:tmpl w:val="8DE065F0"/>
    <w:lvl w:ilvl="0" w:tplc="F12477F6">
      <w:start w:val="1"/>
      <w:numFmt w:val="decimal"/>
      <w:lvlText w:val="%1."/>
      <w:lvlJc w:val="left"/>
      <w:pPr>
        <w:tabs>
          <w:tab w:val="num" w:pos="1773"/>
        </w:tabs>
        <w:ind w:left="1773" w:hanging="360"/>
      </w:pPr>
      <w:rPr>
        <w:rFonts w:cs="Times New Roman" w:hint="default"/>
      </w:rPr>
    </w:lvl>
    <w:lvl w:ilvl="1" w:tplc="041F0019" w:tentative="1">
      <w:start w:val="1"/>
      <w:numFmt w:val="lowerLetter"/>
      <w:lvlText w:val="%2."/>
      <w:lvlJc w:val="left"/>
      <w:pPr>
        <w:tabs>
          <w:tab w:val="num" w:pos="2493"/>
        </w:tabs>
        <w:ind w:left="2493" w:hanging="360"/>
      </w:pPr>
      <w:rPr>
        <w:rFonts w:cs="Times New Roman"/>
      </w:rPr>
    </w:lvl>
    <w:lvl w:ilvl="2" w:tplc="041F001B" w:tentative="1">
      <w:start w:val="1"/>
      <w:numFmt w:val="lowerRoman"/>
      <w:lvlText w:val="%3."/>
      <w:lvlJc w:val="right"/>
      <w:pPr>
        <w:tabs>
          <w:tab w:val="num" w:pos="3213"/>
        </w:tabs>
        <w:ind w:left="3213" w:hanging="180"/>
      </w:pPr>
      <w:rPr>
        <w:rFonts w:cs="Times New Roman"/>
      </w:rPr>
    </w:lvl>
    <w:lvl w:ilvl="3" w:tplc="041F000F" w:tentative="1">
      <w:start w:val="1"/>
      <w:numFmt w:val="decimal"/>
      <w:lvlText w:val="%4."/>
      <w:lvlJc w:val="left"/>
      <w:pPr>
        <w:tabs>
          <w:tab w:val="num" w:pos="3933"/>
        </w:tabs>
        <w:ind w:left="3933" w:hanging="360"/>
      </w:pPr>
      <w:rPr>
        <w:rFonts w:cs="Times New Roman"/>
      </w:rPr>
    </w:lvl>
    <w:lvl w:ilvl="4" w:tplc="041F0019" w:tentative="1">
      <w:start w:val="1"/>
      <w:numFmt w:val="lowerLetter"/>
      <w:lvlText w:val="%5."/>
      <w:lvlJc w:val="left"/>
      <w:pPr>
        <w:tabs>
          <w:tab w:val="num" w:pos="4653"/>
        </w:tabs>
        <w:ind w:left="4653" w:hanging="360"/>
      </w:pPr>
      <w:rPr>
        <w:rFonts w:cs="Times New Roman"/>
      </w:rPr>
    </w:lvl>
    <w:lvl w:ilvl="5" w:tplc="041F001B" w:tentative="1">
      <w:start w:val="1"/>
      <w:numFmt w:val="lowerRoman"/>
      <w:lvlText w:val="%6."/>
      <w:lvlJc w:val="right"/>
      <w:pPr>
        <w:tabs>
          <w:tab w:val="num" w:pos="5373"/>
        </w:tabs>
        <w:ind w:left="5373" w:hanging="180"/>
      </w:pPr>
      <w:rPr>
        <w:rFonts w:cs="Times New Roman"/>
      </w:rPr>
    </w:lvl>
    <w:lvl w:ilvl="6" w:tplc="041F000F" w:tentative="1">
      <w:start w:val="1"/>
      <w:numFmt w:val="decimal"/>
      <w:lvlText w:val="%7."/>
      <w:lvlJc w:val="left"/>
      <w:pPr>
        <w:tabs>
          <w:tab w:val="num" w:pos="6093"/>
        </w:tabs>
        <w:ind w:left="6093" w:hanging="360"/>
      </w:pPr>
      <w:rPr>
        <w:rFonts w:cs="Times New Roman"/>
      </w:rPr>
    </w:lvl>
    <w:lvl w:ilvl="7" w:tplc="041F0019" w:tentative="1">
      <w:start w:val="1"/>
      <w:numFmt w:val="lowerLetter"/>
      <w:lvlText w:val="%8."/>
      <w:lvlJc w:val="left"/>
      <w:pPr>
        <w:tabs>
          <w:tab w:val="num" w:pos="6813"/>
        </w:tabs>
        <w:ind w:left="6813" w:hanging="360"/>
      </w:pPr>
      <w:rPr>
        <w:rFonts w:cs="Times New Roman"/>
      </w:rPr>
    </w:lvl>
    <w:lvl w:ilvl="8" w:tplc="041F001B" w:tentative="1">
      <w:start w:val="1"/>
      <w:numFmt w:val="lowerRoman"/>
      <w:lvlText w:val="%9."/>
      <w:lvlJc w:val="right"/>
      <w:pPr>
        <w:tabs>
          <w:tab w:val="num" w:pos="7533"/>
        </w:tabs>
        <w:ind w:left="7533" w:hanging="180"/>
      </w:pPr>
      <w:rPr>
        <w:rFonts w:cs="Times New Roman"/>
      </w:rPr>
    </w:lvl>
  </w:abstractNum>
  <w:abstractNum w:abstractNumId="1">
    <w:nsid w:val="6A200B5E"/>
    <w:multiLevelType w:val="hybridMultilevel"/>
    <w:tmpl w:val="45E4A5B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8"/>
    <w:rsid w:val="00036EB7"/>
    <w:rsid w:val="0007197E"/>
    <w:rsid w:val="00095787"/>
    <w:rsid w:val="00133C28"/>
    <w:rsid w:val="00140503"/>
    <w:rsid w:val="00250B9D"/>
    <w:rsid w:val="00263C1B"/>
    <w:rsid w:val="002852E7"/>
    <w:rsid w:val="00293300"/>
    <w:rsid w:val="002A515A"/>
    <w:rsid w:val="002F6F51"/>
    <w:rsid w:val="005D058B"/>
    <w:rsid w:val="006130B9"/>
    <w:rsid w:val="006B7665"/>
    <w:rsid w:val="00754D9E"/>
    <w:rsid w:val="007607BD"/>
    <w:rsid w:val="00841A96"/>
    <w:rsid w:val="008F4CB4"/>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C98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C2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133C28"/>
    <w:pPr>
      <w:spacing w:before="100" w:beforeAutospacing="1" w:after="100" w:afterAutospacing="1"/>
    </w:pPr>
  </w:style>
  <w:style w:type="paragraph" w:styleId="DipnotMetni">
    <w:name w:val="footnote text"/>
    <w:basedOn w:val="Normal"/>
    <w:link w:val="DipnotMetniChar"/>
    <w:rsid w:val="00133C28"/>
    <w:rPr>
      <w:sz w:val="20"/>
      <w:szCs w:val="20"/>
    </w:rPr>
  </w:style>
  <w:style w:type="character" w:customStyle="1" w:styleId="DipnotMetniChar">
    <w:name w:val="Dipnot Metni Char"/>
    <w:basedOn w:val="VarsaylanParagrafYazTipi"/>
    <w:link w:val="DipnotMetni"/>
    <w:rsid w:val="00133C28"/>
    <w:rPr>
      <w:sz w:val="20"/>
      <w:szCs w:val="20"/>
    </w:rPr>
  </w:style>
  <w:style w:type="character" w:styleId="DipnotBavurusu">
    <w:name w:val="footnote reference"/>
    <w:basedOn w:val="VarsaylanParagrafYazTipi"/>
    <w:semiHidden/>
    <w:rsid w:val="00133C28"/>
    <w:rPr>
      <w:vertAlign w:val="superscript"/>
    </w:rPr>
  </w:style>
  <w:style w:type="character" w:customStyle="1" w:styleId="NormalWebChar">
    <w:name w:val="Normal (Web) Char"/>
    <w:basedOn w:val="VarsaylanParagrafYazTipi"/>
    <w:link w:val="NormalWeb"/>
    <w:uiPriority w:val="99"/>
    <w:rsid w:val="00133C28"/>
    <w:rPr>
      <w:sz w:val="22"/>
      <w:szCs w:val="22"/>
    </w:rPr>
  </w:style>
  <w:style w:type="paragraph" w:customStyle="1" w:styleId="ListeParagraf1">
    <w:name w:val="Liste Paragraf1"/>
    <w:basedOn w:val="Normal"/>
    <w:rsid w:val="00133C2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7257</Characters>
  <Application>Microsoft Macintosh Word</Application>
  <DocSecurity>0</DocSecurity>
  <Lines>60</Lines>
  <Paragraphs>17</Paragraphs>
  <ScaleCrop>false</ScaleCrop>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2018-02-03T18:05:00Z</dcterms:created>
  <dcterms:modified xsi:type="dcterms:W3CDTF">2018-02-13T08:47:00Z</dcterms:modified>
</cp:coreProperties>
</file>