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B0A0A" w:rsidRPr="009B0A0A" w:rsidRDefault="009B0A0A" w:rsidP="009B0A0A">
      <w:pPr>
        <w:spacing w:line="480" w:lineRule="auto"/>
        <w:ind w:firstLine="360"/>
        <w:jc w:val="both"/>
        <w:rPr>
          <w:b/>
          <w:bCs/>
          <w:iCs/>
          <w:sz w:val="36"/>
          <w:szCs w:val="36"/>
        </w:rPr>
      </w:pPr>
      <w:r w:rsidRPr="009B0A0A">
        <w:rPr>
          <w:b/>
          <w:bCs/>
          <w:iCs/>
          <w:sz w:val="36"/>
          <w:szCs w:val="36"/>
        </w:rPr>
        <w:t>MUÂMELÂT (BORÇLAR HUKUKU)</w:t>
      </w:r>
    </w:p>
    <w:p w:rsidR="009B0A0A" w:rsidRPr="009B0A0A" w:rsidRDefault="009B0A0A" w:rsidP="009B0A0A">
      <w:pPr>
        <w:numPr>
          <w:ilvl w:val="0"/>
          <w:numId w:val="1"/>
        </w:numPr>
        <w:spacing w:line="480" w:lineRule="auto"/>
        <w:jc w:val="both"/>
        <w:rPr>
          <w:b/>
          <w:bCs/>
          <w:iCs/>
          <w:sz w:val="36"/>
          <w:szCs w:val="36"/>
        </w:rPr>
      </w:pPr>
      <w:r w:rsidRPr="009B0A0A">
        <w:rPr>
          <w:b/>
          <w:bCs/>
          <w:iCs/>
          <w:sz w:val="36"/>
          <w:szCs w:val="36"/>
        </w:rPr>
        <w:t>Giriş</w:t>
      </w:r>
    </w:p>
    <w:p w:rsidR="009B0A0A" w:rsidRPr="009B0A0A" w:rsidRDefault="009B0A0A" w:rsidP="009B0A0A">
      <w:pPr>
        <w:spacing w:line="480" w:lineRule="auto"/>
        <w:ind w:firstLine="360"/>
        <w:jc w:val="both"/>
        <w:rPr>
          <w:sz w:val="36"/>
          <w:szCs w:val="36"/>
        </w:rPr>
      </w:pPr>
      <w:r w:rsidRPr="009B0A0A">
        <w:rPr>
          <w:sz w:val="36"/>
          <w:szCs w:val="36"/>
        </w:rPr>
        <w:t xml:space="preserve">Hukuk ilminde teknik bir terim olarak </w:t>
      </w:r>
      <w:r w:rsidRPr="009B0A0A">
        <w:rPr>
          <w:i/>
          <w:sz w:val="36"/>
          <w:szCs w:val="36"/>
        </w:rPr>
        <w:t>muamele</w:t>
      </w:r>
      <w:r w:rsidRPr="009B0A0A">
        <w:rPr>
          <w:sz w:val="36"/>
          <w:szCs w:val="36"/>
        </w:rPr>
        <w:t xml:space="preserve"> (ç. muâmelât) </w:t>
      </w:r>
      <w:r w:rsidRPr="009B0A0A">
        <w:rPr>
          <w:i/>
          <w:sz w:val="36"/>
          <w:szCs w:val="36"/>
        </w:rPr>
        <w:t>hukûkî bir sonuç doğurması amacıyla yapılan iradi fiiller</w:t>
      </w:r>
      <w:r w:rsidRPr="009B0A0A">
        <w:rPr>
          <w:sz w:val="36"/>
          <w:szCs w:val="36"/>
        </w:rPr>
        <w:t xml:space="preserve"> için kullanılmaktadır. Ulaşılmak istenen amaç, bir hakkın veya hukûkî ilişkinin kurulması, değiştirilmesi, nakledilmesi veya sona erdirilmesi olabilir. Bu tür hukûkî ilişkiler için muamele kavramından  kısmen daha geniş olmakla birlikte bu kavrama yakın anlam ifade eden ve </w:t>
      </w:r>
      <w:r w:rsidRPr="009B0A0A">
        <w:rPr>
          <w:i/>
          <w:sz w:val="36"/>
          <w:szCs w:val="36"/>
        </w:rPr>
        <w:t>bir malı veya hakkı, kavlî veya fiilî bir biçimde kullanmak</w:t>
      </w:r>
      <w:r w:rsidRPr="009B0A0A">
        <w:rPr>
          <w:sz w:val="36"/>
          <w:szCs w:val="36"/>
        </w:rPr>
        <w:t xml:space="preserve"> şeklinde tanımlanan hukûkî tasarruf  (</w:t>
      </w:r>
      <w:r w:rsidRPr="009B0A0A">
        <w:rPr>
          <w:i/>
          <w:sz w:val="36"/>
          <w:szCs w:val="36"/>
        </w:rPr>
        <w:t>et-tasarrufu’ş-şer’î)</w:t>
      </w:r>
      <w:r w:rsidRPr="009B0A0A">
        <w:rPr>
          <w:sz w:val="36"/>
          <w:szCs w:val="36"/>
        </w:rPr>
        <w:t xml:space="preserve"> kavramı da kullanılmaktadır. </w:t>
      </w:r>
    </w:p>
    <w:p w:rsidR="009B0A0A" w:rsidRPr="009B0A0A" w:rsidRDefault="009B0A0A" w:rsidP="009B0A0A">
      <w:pPr>
        <w:spacing w:line="480" w:lineRule="auto"/>
        <w:ind w:firstLine="360"/>
        <w:jc w:val="both"/>
        <w:rPr>
          <w:sz w:val="36"/>
          <w:szCs w:val="36"/>
        </w:rPr>
      </w:pPr>
      <w:r w:rsidRPr="009B0A0A">
        <w:rPr>
          <w:sz w:val="36"/>
          <w:szCs w:val="36"/>
        </w:rPr>
        <w:t xml:space="preserve">Hukûkî işlemler, çeşitli bakış açılarından hareketle farklı biçimlerde tasnif edilmişlerdir. En önemli ayrımlardan birisi, hukûkî işlemlerde yer alan irade sayısıdır. Tek tarafın irade beyanına dayanan hukûkî işlemlere </w:t>
      </w:r>
      <w:r w:rsidRPr="009B0A0A">
        <w:rPr>
          <w:i/>
          <w:sz w:val="36"/>
          <w:szCs w:val="36"/>
        </w:rPr>
        <w:t>tek taraflı hukûkî işlem</w:t>
      </w:r>
      <w:r w:rsidRPr="009B0A0A">
        <w:rPr>
          <w:sz w:val="36"/>
          <w:szCs w:val="36"/>
        </w:rPr>
        <w:t xml:space="preserve">, karşılıklı iradeye veya birden çok irade beyanına </w:t>
      </w:r>
      <w:r w:rsidRPr="009B0A0A">
        <w:rPr>
          <w:sz w:val="36"/>
          <w:szCs w:val="36"/>
        </w:rPr>
        <w:lastRenderedPageBreak/>
        <w:t xml:space="preserve">dayanan hukûkî işlemlere ise, </w:t>
      </w:r>
      <w:r w:rsidRPr="009B0A0A">
        <w:rPr>
          <w:i/>
          <w:sz w:val="36"/>
          <w:szCs w:val="36"/>
        </w:rPr>
        <w:t>iki taraflı hukûkî işlem</w:t>
      </w:r>
      <w:r w:rsidRPr="009B0A0A">
        <w:rPr>
          <w:sz w:val="36"/>
          <w:szCs w:val="36"/>
        </w:rPr>
        <w:t xml:space="preserve"> denir. Akitler hukûkî işlem türlerinden sadece biridir. </w:t>
      </w:r>
    </w:p>
    <w:p w:rsidR="009B0A0A" w:rsidRPr="009B0A0A" w:rsidRDefault="009B0A0A" w:rsidP="009B0A0A">
      <w:pPr>
        <w:spacing w:line="480" w:lineRule="auto"/>
        <w:ind w:firstLine="360"/>
        <w:jc w:val="both"/>
        <w:rPr>
          <w:sz w:val="36"/>
          <w:szCs w:val="36"/>
        </w:rPr>
      </w:pPr>
      <w:r w:rsidRPr="009B0A0A">
        <w:rPr>
          <w:sz w:val="36"/>
          <w:szCs w:val="36"/>
        </w:rPr>
        <w:t xml:space="preserve">Başka bir ayrıma göre hukûkî işlemler, fiili ve kavli olmak üzere iki türlü olabilmektedir. İradi olsun olmasın, maddi bir eylem ile gerçekleşen ve kendisine hukûkî sonuç bağlanan eylemler fiili tasarruflardır. Bunlara </w:t>
      </w:r>
      <w:r w:rsidRPr="009B0A0A">
        <w:rPr>
          <w:i/>
          <w:sz w:val="36"/>
          <w:szCs w:val="36"/>
        </w:rPr>
        <w:t>hukûkî olay</w:t>
      </w:r>
      <w:r w:rsidRPr="009B0A0A">
        <w:rPr>
          <w:sz w:val="36"/>
          <w:szCs w:val="36"/>
        </w:rPr>
        <w:t xml:space="preserve"> da denilmektedir. Gasp ve itlaf (haksız fiiller) bu türe örnek verilebilir. Kavli (sözlü) tasarruflar ise kişinin irade beyanına dayanan ve kendisine hukûkî bir sonuç bağlanabilen tasarruflardır. Tek taraflı irade (irade-i münferide) beyanına dayanan hukûkî tasarruflar ile, iki taraflı irade beyanına dayanan akitler ise, kavlî tasarruf bağlamında mütalaa edilmektedir. </w:t>
      </w:r>
    </w:p>
    <w:p w:rsidR="009B0A0A" w:rsidRPr="009B0A0A" w:rsidRDefault="009B0A0A" w:rsidP="009B0A0A">
      <w:pPr>
        <w:spacing w:line="480" w:lineRule="auto"/>
        <w:ind w:firstLine="360"/>
        <w:jc w:val="both"/>
        <w:rPr>
          <w:sz w:val="36"/>
          <w:szCs w:val="36"/>
        </w:rPr>
      </w:pPr>
      <w:r w:rsidRPr="009B0A0A">
        <w:rPr>
          <w:sz w:val="36"/>
          <w:szCs w:val="36"/>
        </w:rPr>
        <w:lastRenderedPageBreak/>
        <w:t>İnsanın eşya ile ilişkisi ya doğrudan ya da dolaylı olmaktadır. Kişinin sahip ve malik olduğu eşya ile ilişkisi (mülkiyet, zilyetlik), kendisi ile doğrudan mülkiyet ve zilyetliğe konu olan eşya arasındadır. Kişi-eşya ilişkilerini eşya hukuku düzenlemektedir.</w:t>
      </w:r>
    </w:p>
    <w:p w:rsidR="009B0A0A" w:rsidRPr="009B0A0A" w:rsidRDefault="009B0A0A" w:rsidP="009B0A0A">
      <w:pPr>
        <w:spacing w:line="480" w:lineRule="auto"/>
        <w:ind w:firstLine="360"/>
        <w:jc w:val="both"/>
        <w:rPr>
          <w:sz w:val="36"/>
          <w:szCs w:val="36"/>
        </w:rPr>
      </w:pPr>
      <w:r w:rsidRPr="009B0A0A">
        <w:rPr>
          <w:sz w:val="36"/>
          <w:szCs w:val="36"/>
        </w:rPr>
        <w:t xml:space="preserve">Buna karşılık kişinin, başkalarıyla ortaklık kurması veya malik olduğu herhangi bir eşyayı başkasına satması, kiraya vermesi, emanet veya ariyet vermesi ya da hibe etmesi, kişinin işçi olarak çalışması veya işçi çalıştırması biçimindeki ilişki ise, dolaylı olarak gerçekleşir. Bu dolaylı ilişki, kişinin bir başka kişi veya kişiler ile yaptığı sözleşme, veya işlediği maddi bir fiilin sonucunda gerçekleşmektedir. Bu ise karşılıklı hak ve borç ilişkisidir. Kişiler arası borç ilişkilerini ise borçlar hukuku düzenlemektedir. </w:t>
      </w:r>
    </w:p>
    <w:p w:rsidR="009B0A0A" w:rsidRPr="009B0A0A" w:rsidRDefault="009B0A0A" w:rsidP="009B0A0A">
      <w:pPr>
        <w:spacing w:line="480" w:lineRule="auto"/>
        <w:ind w:firstLine="360"/>
        <w:jc w:val="both"/>
        <w:rPr>
          <w:sz w:val="36"/>
          <w:szCs w:val="36"/>
        </w:rPr>
      </w:pPr>
      <w:r w:rsidRPr="009B0A0A">
        <w:rPr>
          <w:sz w:val="36"/>
          <w:szCs w:val="36"/>
        </w:rPr>
        <w:t xml:space="preserve">Borç ilişkisinde alacaklının borçluya karşı ileri sürebileceği alacak hakları alanı sınırlı iken, eşya hukukunun konusunu oluşturan ve eşya üzerindeki hakimiyet haklarını oluşturan </w:t>
      </w:r>
      <w:r w:rsidRPr="009B0A0A">
        <w:rPr>
          <w:i/>
          <w:iCs/>
          <w:sz w:val="36"/>
          <w:szCs w:val="36"/>
        </w:rPr>
        <w:t>ayni haklar</w:t>
      </w:r>
      <w:r w:rsidRPr="009B0A0A">
        <w:rPr>
          <w:sz w:val="36"/>
          <w:szCs w:val="36"/>
        </w:rPr>
        <w:t xml:space="preserve"> </w:t>
      </w:r>
      <w:r w:rsidRPr="009B0A0A">
        <w:rPr>
          <w:sz w:val="36"/>
          <w:szCs w:val="36"/>
        </w:rPr>
        <w:lastRenderedPageBreak/>
        <w:t xml:space="preserve">ise, herkese karşı ileri sürülebilir niteliktedir. Ayni hak kapsamında yer alan haklar, mutlak hakları; borç ilişkisinden kaynaklanan alacak hakları ise, hak sahibinin sadece borçluya karşı ileri sürebileceği </w:t>
      </w:r>
      <w:r w:rsidRPr="009B0A0A">
        <w:rPr>
          <w:i/>
          <w:iCs/>
          <w:sz w:val="36"/>
          <w:szCs w:val="36"/>
        </w:rPr>
        <w:t>nisbi hakları</w:t>
      </w:r>
      <w:r w:rsidRPr="009B0A0A">
        <w:rPr>
          <w:sz w:val="36"/>
          <w:szCs w:val="36"/>
        </w:rPr>
        <w:t xml:space="preserve"> oluşturmaktadır. Kısaca eşya ve borçlar hukukunun tasnif ve ayrımında temel kriter söz konusu hukûkî ilişkilerin veya bunlardan doğacak subjektif hakların durumudur. Alacak hakkı (şahsi hak) borçlunun şahsı ile sınırlıdır, yani şahsi hakların konusu borçlunun şahsıdır. </w:t>
      </w:r>
    </w:p>
    <w:p w:rsidR="00C83E89" w:rsidRPr="009B0A0A" w:rsidRDefault="009B0A0A" w:rsidP="009B0A0A">
      <w:pPr>
        <w:spacing w:line="480" w:lineRule="auto"/>
        <w:ind w:firstLine="360"/>
        <w:jc w:val="both"/>
        <w:rPr>
          <w:sz w:val="36"/>
          <w:szCs w:val="36"/>
        </w:rPr>
      </w:pPr>
      <w:r w:rsidRPr="009B0A0A">
        <w:rPr>
          <w:sz w:val="36"/>
          <w:szCs w:val="36"/>
        </w:rPr>
        <w:t>Yukarıdaki bilgilerden anlaşılmaktadır ki, kişi-eşya ilişkilerini düzenleyen hukuk kuralları nispeten daha sınırlı ve statik, buna karşılık irade açıklamasına dayanan borç ilişkileri ise, çok çeşitli ve dinamik bir nitelik arz eder. Bu çeşitlilik, borç ilişkilerinin doğasından kaynaklanmaktadır. Hayat şartları, değişen sosyal ihtiyaç ve zaruretler de bunda büyük rol oynamaktadır.</w:t>
      </w:r>
      <w:bookmarkStart w:id="0" w:name="_GoBack"/>
      <w:bookmarkEnd w:id="0"/>
    </w:p>
    <w:sectPr w:rsidR="00C83E89" w:rsidRPr="009B0A0A" w:rsidSect="009B0A0A">
      <w:pgSz w:w="16840" w:h="11900"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A2"/>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8F466D"/>
    <w:multiLevelType w:val="hybridMultilevel"/>
    <w:tmpl w:val="5F1070B8"/>
    <w:lvl w:ilvl="0" w:tplc="041F0001">
      <w:start w:val="1"/>
      <w:numFmt w:val="bullet"/>
      <w:lvlText w:val=""/>
      <w:lvlJc w:val="left"/>
      <w:pPr>
        <w:tabs>
          <w:tab w:val="num" w:pos="1080"/>
        </w:tabs>
        <w:ind w:left="1080" w:hanging="360"/>
      </w:pPr>
      <w:rPr>
        <w:rFonts w:ascii="Symbol" w:hAnsi="Symbol" w:hint="default"/>
      </w:rPr>
    </w:lvl>
    <w:lvl w:ilvl="1" w:tplc="041F0003" w:tentative="1">
      <w:start w:val="1"/>
      <w:numFmt w:val="bullet"/>
      <w:lvlText w:val="o"/>
      <w:lvlJc w:val="left"/>
      <w:pPr>
        <w:tabs>
          <w:tab w:val="num" w:pos="1800"/>
        </w:tabs>
        <w:ind w:left="1800" w:hanging="360"/>
      </w:pPr>
      <w:rPr>
        <w:rFonts w:ascii="Courier New" w:hAnsi="Courier New" w:cs="Courier New" w:hint="default"/>
      </w:rPr>
    </w:lvl>
    <w:lvl w:ilvl="2" w:tplc="041F0005" w:tentative="1">
      <w:start w:val="1"/>
      <w:numFmt w:val="bullet"/>
      <w:lvlText w:val=""/>
      <w:lvlJc w:val="left"/>
      <w:pPr>
        <w:tabs>
          <w:tab w:val="num" w:pos="2520"/>
        </w:tabs>
        <w:ind w:left="2520" w:hanging="360"/>
      </w:pPr>
      <w:rPr>
        <w:rFonts w:ascii="Wingdings" w:hAnsi="Wingdings" w:hint="default"/>
      </w:rPr>
    </w:lvl>
    <w:lvl w:ilvl="3" w:tplc="041F0001" w:tentative="1">
      <w:start w:val="1"/>
      <w:numFmt w:val="bullet"/>
      <w:lvlText w:val=""/>
      <w:lvlJc w:val="left"/>
      <w:pPr>
        <w:tabs>
          <w:tab w:val="num" w:pos="3240"/>
        </w:tabs>
        <w:ind w:left="3240" w:hanging="360"/>
      </w:pPr>
      <w:rPr>
        <w:rFonts w:ascii="Symbol" w:hAnsi="Symbol" w:hint="default"/>
      </w:rPr>
    </w:lvl>
    <w:lvl w:ilvl="4" w:tplc="041F0003" w:tentative="1">
      <w:start w:val="1"/>
      <w:numFmt w:val="bullet"/>
      <w:lvlText w:val="o"/>
      <w:lvlJc w:val="left"/>
      <w:pPr>
        <w:tabs>
          <w:tab w:val="num" w:pos="3960"/>
        </w:tabs>
        <w:ind w:left="3960" w:hanging="360"/>
      </w:pPr>
      <w:rPr>
        <w:rFonts w:ascii="Courier New" w:hAnsi="Courier New" w:cs="Courier New" w:hint="default"/>
      </w:rPr>
    </w:lvl>
    <w:lvl w:ilvl="5" w:tplc="041F0005" w:tentative="1">
      <w:start w:val="1"/>
      <w:numFmt w:val="bullet"/>
      <w:lvlText w:val=""/>
      <w:lvlJc w:val="left"/>
      <w:pPr>
        <w:tabs>
          <w:tab w:val="num" w:pos="4680"/>
        </w:tabs>
        <w:ind w:left="4680" w:hanging="360"/>
      </w:pPr>
      <w:rPr>
        <w:rFonts w:ascii="Wingdings" w:hAnsi="Wingdings" w:hint="default"/>
      </w:rPr>
    </w:lvl>
    <w:lvl w:ilvl="6" w:tplc="041F0001" w:tentative="1">
      <w:start w:val="1"/>
      <w:numFmt w:val="bullet"/>
      <w:lvlText w:val=""/>
      <w:lvlJc w:val="left"/>
      <w:pPr>
        <w:tabs>
          <w:tab w:val="num" w:pos="5400"/>
        </w:tabs>
        <w:ind w:left="5400" w:hanging="360"/>
      </w:pPr>
      <w:rPr>
        <w:rFonts w:ascii="Symbol" w:hAnsi="Symbol" w:hint="default"/>
      </w:rPr>
    </w:lvl>
    <w:lvl w:ilvl="7" w:tplc="041F0003" w:tentative="1">
      <w:start w:val="1"/>
      <w:numFmt w:val="bullet"/>
      <w:lvlText w:val="o"/>
      <w:lvlJc w:val="left"/>
      <w:pPr>
        <w:tabs>
          <w:tab w:val="num" w:pos="6120"/>
        </w:tabs>
        <w:ind w:left="6120" w:hanging="360"/>
      </w:pPr>
      <w:rPr>
        <w:rFonts w:ascii="Courier New" w:hAnsi="Courier New" w:cs="Courier New" w:hint="default"/>
      </w:rPr>
    </w:lvl>
    <w:lvl w:ilvl="8" w:tplc="041F0005" w:tentative="1">
      <w:start w:val="1"/>
      <w:numFmt w:val="bullet"/>
      <w:lvlText w:val=""/>
      <w:lvlJc w:val="left"/>
      <w:pPr>
        <w:tabs>
          <w:tab w:val="num" w:pos="6840"/>
        </w:tabs>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0A0A"/>
    <w:rsid w:val="00387FE0"/>
    <w:rsid w:val="005752EC"/>
    <w:rsid w:val="009B0A0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4:docId w14:val="1E710346"/>
  <w14:defaultImageDpi w14:val="32767"/>
  <w15:chartTrackingRefBased/>
  <w15:docId w15:val="{41891AFD-D296-104B-9411-CCC48DA32A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9B0A0A"/>
    <w:rPr>
      <w:rFonts w:ascii="Times New Roman" w:eastAsia="Times New Roman" w:hAnsi="Times New Roman" w:cs="Times New Roman"/>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513</Words>
  <Characters>2926</Characters>
  <Application>Microsoft Office Word</Application>
  <DocSecurity>0</DocSecurity>
  <Lines>24</Lines>
  <Paragraphs>6</Paragraphs>
  <ScaleCrop>false</ScaleCrop>
  <Company/>
  <LinksUpToDate>false</LinksUpToDate>
  <CharactersWithSpaces>3433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alime çelik</dc:creator>
  <cp:keywords/>
  <dc:description/>
  <cp:lastModifiedBy>alime çelik</cp:lastModifiedBy>
  <cp:revision>1</cp:revision>
  <dcterms:created xsi:type="dcterms:W3CDTF">2018-02-15T19:03:00Z</dcterms:created>
  <dcterms:modified xsi:type="dcterms:W3CDTF">2018-02-15T19:04:00Z</dcterms:modified>
</cp:coreProperties>
</file>