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16" w:rsidRPr="00AF0788" w:rsidRDefault="00424110" w:rsidP="00424110">
      <w:pPr>
        <w:jc w:val="center"/>
        <w:rPr>
          <w:sz w:val="16"/>
          <w:szCs w:val="16"/>
        </w:rPr>
      </w:pPr>
      <w:r w:rsidRPr="00AF0788">
        <w:rPr>
          <w:b/>
          <w:sz w:val="16"/>
          <w:szCs w:val="16"/>
        </w:rPr>
        <w:t xml:space="preserve">Ankara </w:t>
      </w:r>
      <w:r w:rsidR="00F12016" w:rsidRPr="00AF0788">
        <w:rPr>
          <w:b/>
          <w:sz w:val="16"/>
          <w:szCs w:val="16"/>
        </w:rPr>
        <w:t>Üniversitesi</w:t>
      </w:r>
      <w:r w:rsidRPr="00AF0788"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AF0788" w:rsidRDefault="00F12016" w:rsidP="00F12016">
      <w:pPr>
        <w:jc w:val="center"/>
        <w:rPr>
          <w:b/>
          <w:sz w:val="16"/>
          <w:szCs w:val="16"/>
        </w:rPr>
      </w:pPr>
      <w:r w:rsidRPr="00AF0788">
        <w:rPr>
          <w:b/>
          <w:sz w:val="16"/>
          <w:szCs w:val="16"/>
        </w:rPr>
        <w:t>Açık Ders Malzemeleri</w:t>
      </w:r>
    </w:p>
    <w:p w:rsidR="00F12016" w:rsidRPr="00AF0788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AF0788" w:rsidRDefault="00F12016" w:rsidP="00F12016">
      <w:pPr>
        <w:pStyle w:val="Basliklar"/>
        <w:jc w:val="center"/>
        <w:rPr>
          <w:sz w:val="16"/>
          <w:szCs w:val="16"/>
        </w:rPr>
      </w:pPr>
      <w:r w:rsidRPr="00AF0788">
        <w:rPr>
          <w:sz w:val="16"/>
          <w:szCs w:val="16"/>
        </w:rPr>
        <w:t>Ders izlence Formu</w:t>
      </w:r>
    </w:p>
    <w:p w:rsidR="00F12016" w:rsidRPr="00AF0788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AF0788" w:rsidRDefault="006A4A02" w:rsidP="0009049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GDM401 Proses Tasarımı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12016" w:rsidRDefault="002D6D53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Aslı İŞCİ YAKAN</w:t>
            </w:r>
            <w:bookmarkStart w:id="0" w:name="_GoBack"/>
            <w:bookmarkEnd w:id="0"/>
          </w:p>
          <w:p w:rsidR="00547929" w:rsidRPr="00AF0788" w:rsidRDefault="00547929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 Dr. Özge ŞAKIYAN DEMİRKOL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AF0788" w:rsidRDefault="008B2845" w:rsidP="00F12016">
            <w:pPr>
              <w:pStyle w:val="DersBilgileri"/>
              <w:rPr>
                <w:szCs w:val="16"/>
              </w:rPr>
            </w:pPr>
            <w:r w:rsidRPr="00AF0788">
              <w:rPr>
                <w:szCs w:val="16"/>
              </w:rPr>
              <w:t>Lisans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AF0788" w:rsidRDefault="008B2845" w:rsidP="00F12016">
            <w:pPr>
              <w:pStyle w:val="DersBilgileri"/>
              <w:rPr>
                <w:szCs w:val="16"/>
              </w:rPr>
            </w:pPr>
            <w:r w:rsidRPr="00AF0788">
              <w:rPr>
                <w:szCs w:val="16"/>
              </w:rPr>
              <w:t>2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12016" w:rsidRPr="00AF0788" w:rsidRDefault="008B2845" w:rsidP="00F12016">
            <w:pPr>
              <w:pStyle w:val="DersBilgileri"/>
              <w:rPr>
                <w:szCs w:val="16"/>
              </w:rPr>
            </w:pPr>
            <w:r w:rsidRPr="00AF0788">
              <w:rPr>
                <w:szCs w:val="16"/>
              </w:rPr>
              <w:t>Zorunlu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94F8C" w:rsidRPr="00AF0788" w:rsidRDefault="00894F8C" w:rsidP="003D329E">
            <w:pPr>
              <w:pStyle w:val="DersBilgileri"/>
              <w:ind w:left="33"/>
              <w:rPr>
                <w:szCs w:val="16"/>
              </w:rPr>
            </w:pPr>
            <w:proofErr w:type="gramStart"/>
            <w:r w:rsidRPr="00AF0788">
              <w:rPr>
                <w:szCs w:val="16"/>
              </w:rPr>
              <w:t xml:space="preserve">Mühendislik uygulamalarının çevre ve güvenlik etkileri, </w:t>
            </w:r>
            <w:r w:rsidR="00AF0788" w:rsidRPr="00AF0788">
              <w:rPr>
                <w:szCs w:val="16"/>
              </w:rPr>
              <w:t>mühendislik etiği</w:t>
            </w:r>
            <w:r w:rsidRPr="00AF0788">
              <w:rPr>
                <w:szCs w:val="16"/>
              </w:rPr>
              <w:t xml:space="preserve"> ve sorumlulukları. </w:t>
            </w:r>
            <w:proofErr w:type="gramEnd"/>
            <w:r w:rsidRPr="00AF0788">
              <w:rPr>
                <w:szCs w:val="16"/>
              </w:rPr>
              <w:t xml:space="preserve">Karmaşık bir süreci, sistemi, cihazı veya ürünü gerçekçi kısıtlar ve koşullar altında tasarlama. </w:t>
            </w:r>
            <w:proofErr w:type="gramStart"/>
            <w:r w:rsidRPr="00AF0788">
              <w:rPr>
                <w:szCs w:val="16"/>
              </w:rPr>
              <w:t>Gıda endüstrisinde kullanılan araçların örnek çalışmalarla tasarı</w:t>
            </w:r>
            <w:r w:rsidR="00AF0788">
              <w:rPr>
                <w:szCs w:val="16"/>
              </w:rPr>
              <w:t xml:space="preserve">mı. </w:t>
            </w:r>
            <w:proofErr w:type="gramEnd"/>
            <w:r w:rsidRPr="00AF0788">
              <w:rPr>
                <w:szCs w:val="16"/>
              </w:rPr>
              <w:t xml:space="preserve">Her örnek için, mühendislik işlemlerinin prensiplerinin teknik </w:t>
            </w:r>
            <w:proofErr w:type="spellStart"/>
            <w:r w:rsidRPr="00AF0788">
              <w:rPr>
                <w:szCs w:val="16"/>
              </w:rPr>
              <w:t>spesifikasyonlarla</w:t>
            </w:r>
            <w:proofErr w:type="spellEnd"/>
            <w:r w:rsidRPr="00AF0788">
              <w:rPr>
                <w:szCs w:val="16"/>
              </w:rPr>
              <w:t xml:space="preserve"> beraber tasarım raporunda ayrıntılı olarak değerlendirilmesi.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94F8C" w:rsidRPr="00AF0788" w:rsidRDefault="00894F8C" w:rsidP="00894F8C">
            <w:pPr>
              <w:pStyle w:val="GvdeMetni"/>
              <w:ind w:left="2160" w:hanging="2160"/>
              <w:rPr>
                <w:rFonts w:ascii="Verdana" w:hAnsi="Verdana"/>
                <w:sz w:val="16"/>
                <w:szCs w:val="16"/>
                <w:lang w:val="tr-TR"/>
              </w:rPr>
            </w:pP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>Takım çalışması</w:t>
            </w:r>
          </w:p>
          <w:p w:rsidR="00894F8C" w:rsidRPr="00AF0788" w:rsidRDefault="00894F8C" w:rsidP="00894F8C">
            <w:pPr>
              <w:pStyle w:val="GvdeMetni"/>
              <w:ind w:left="2160" w:hanging="2160"/>
              <w:rPr>
                <w:rFonts w:ascii="Verdana" w:hAnsi="Verdana"/>
                <w:sz w:val="16"/>
                <w:szCs w:val="16"/>
                <w:lang w:val="tr-TR"/>
              </w:rPr>
            </w:pP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>Teknik yetkinlikler</w:t>
            </w:r>
          </w:p>
          <w:p w:rsidR="00894F8C" w:rsidRPr="00AF0788" w:rsidRDefault="00894F8C" w:rsidP="00894F8C">
            <w:pPr>
              <w:pStyle w:val="GvdeMetni"/>
              <w:ind w:left="2160" w:hanging="2160"/>
              <w:rPr>
                <w:rFonts w:ascii="Verdana" w:hAnsi="Verdana"/>
                <w:sz w:val="16"/>
                <w:szCs w:val="16"/>
                <w:lang w:val="tr-TR"/>
              </w:rPr>
            </w:pP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 xml:space="preserve">Sistematik düşünme </w:t>
            </w:r>
          </w:p>
          <w:p w:rsidR="00894F8C" w:rsidRPr="00AF0788" w:rsidRDefault="00894F8C" w:rsidP="00894F8C">
            <w:pPr>
              <w:pStyle w:val="GvdeMetni"/>
              <w:ind w:left="2160" w:hanging="2160"/>
              <w:rPr>
                <w:rFonts w:ascii="Verdana" w:hAnsi="Verdana"/>
                <w:sz w:val="16"/>
                <w:szCs w:val="16"/>
                <w:lang w:val="tr-TR"/>
              </w:rPr>
            </w:pP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>Yaratıcı problem çözme</w:t>
            </w:r>
          </w:p>
          <w:p w:rsidR="00894F8C" w:rsidRPr="00AF0788" w:rsidRDefault="00894F8C" w:rsidP="00894F8C">
            <w:pPr>
              <w:pStyle w:val="GvdeMetni"/>
              <w:ind w:left="2160" w:hanging="2160"/>
              <w:rPr>
                <w:rFonts w:ascii="Verdana" w:hAnsi="Verdana"/>
                <w:sz w:val="16"/>
                <w:szCs w:val="16"/>
                <w:lang w:val="tr-TR"/>
              </w:rPr>
            </w:pP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>Analitik düşünme</w:t>
            </w:r>
          </w:p>
          <w:p w:rsidR="00894F8C" w:rsidRPr="00AF0788" w:rsidRDefault="00894F8C" w:rsidP="00894F8C">
            <w:pPr>
              <w:pStyle w:val="GvdeMetni"/>
              <w:ind w:left="2160" w:hanging="2160"/>
              <w:rPr>
                <w:rFonts w:ascii="Verdana" w:hAnsi="Verdana"/>
                <w:sz w:val="16"/>
                <w:szCs w:val="16"/>
                <w:lang w:val="tr-TR"/>
              </w:rPr>
            </w:pP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>İletişim becerileri</w:t>
            </w:r>
          </w:p>
          <w:p w:rsidR="00894F8C" w:rsidRPr="00AF0788" w:rsidRDefault="00894F8C" w:rsidP="00894F8C">
            <w:pPr>
              <w:pStyle w:val="GvdeMetni"/>
              <w:ind w:left="2160" w:hanging="2160"/>
              <w:rPr>
                <w:rFonts w:ascii="Verdana" w:hAnsi="Verdana"/>
                <w:sz w:val="16"/>
                <w:szCs w:val="16"/>
                <w:lang w:val="tr-TR"/>
              </w:rPr>
            </w:pP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>Ömür-boyu öğrenme</w:t>
            </w:r>
          </w:p>
          <w:p w:rsidR="00894F8C" w:rsidRPr="00AF0788" w:rsidRDefault="00894F8C" w:rsidP="00894F8C">
            <w:pPr>
              <w:pStyle w:val="GvdeMetni"/>
              <w:ind w:left="2160" w:hanging="2160"/>
              <w:rPr>
                <w:rFonts w:ascii="Verdana" w:hAnsi="Verdana"/>
                <w:sz w:val="16"/>
                <w:szCs w:val="16"/>
                <w:lang w:val="tr-TR"/>
              </w:rPr>
            </w:pP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>Proje yönetme kabiliyeti</w:t>
            </w:r>
          </w:p>
          <w:p w:rsidR="00662297" w:rsidRPr="00AF0788" w:rsidRDefault="00894F8C" w:rsidP="00894F8C">
            <w:pPr>
              <w:pStyle w:val="GvdeMetni"/>
              <w:ind w:left="2160" w:hanging="2160"/>
              <w:rPr>
                <w:rFonts w:ascii="Verdana" w:hAnsi="Verdana"/>
                <w:sz w:val="16"/>
                <w:szCs w:val="16"/>
                <w:lang w:val="tr-TR"/>
              </w:rPr>
            </w:pP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>Araştırma yeteneği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AF0788" w:rsidRDefault="008B2845" w:rsidP="008B2845">
            <w:pPr>
              <w:pStyle w:val="DersBilgileri"/>
              <w:rPr>
                <w:szCs w:val="16"/>
              </w:rPr>
            </w:pPr>
            <w:r w:rsidRPr="00AF0788">
              <w:rPr>
                <w:szCs w:val="16"/>
              </w:rPr>
              <w:t xml:space="preserve">1 yarıyıl (haftada 2 saat) 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AF0788" w:rsidRDefault="006A4A0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AF0788" w:rsidRDefault="008B2845" w:rsidP="00F12016">
            <w:pPr>
              <w:pStyle w:val="DersBilgileri"/>
              <w:rPr>
                <w:szCs w:val="16"/>
              </w:rPr>
            </w:pPr>
            <w:r w:rsidRPr="00AF0788">
              <w:rPr>
                <w:szCs w:val="16"/>
              </w:rPr>
              <w:t>Yok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94F8C" w:rsidRPr="00AF0788" w:rsidRDefault="00894F8C" w:rsidP="003D329E">
            <w:pPr>
              <w:pStyle w:val="ListeParagraf"/>
              <w:numPr>
                <w:ilvl w:val="0"/>
                <w:numId w:val="1"/>
              </w:numPr>
              <w:rPr>
                <w:bCs/>
                <w:sz w:val="16"/>
                <w:szCs w:val="16"/>
              </w:rPr>
            </w:pPr>
            <w:proofErr w:type="spellStart"/>
            <w:r w:rsidRPr="00AF0788">
              <w:rPr>
                <w:bCs/>
                <w:sz w:val="16"/>
                <w:szCs w:val="16"/>
              </w:rPr>
              <w:t>Maroulis</w:t>
            </w:r>
            <w:proofErr w:type="spellEnd"/>
            <w:r w:rsidRPr="00AF0788">
              <w:rPr>
                <w:bCs/>
                <w:sz w:val="16"/>
                <w:szCs w:val="16"/>
              </w:rPr>
              <w:t>, Z.B</w:t>
            </w:r>
            <w:proofErr w:type="gramStart"/>
            <w:r w:rsidRPr="00AF0788">
              <w:rPr>
                <w:bCs/>
                <w:sz w:val="16"/>
                <w:szCs w:val="16"/>
              </w:rPr>
              <w:t>,,</w:t>
            </w:r>
            <w:proofErr w:type="gram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Saravacos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, G.D., </w:t>
            </w:r>
            <w:proofErr w:type="spellStart"/>
            <w:r w:rsidRPr="00AF0788">
              <w:rPr>
                <w:bCs/>
                <w:sz w:val="16"/>
                <w:szCs w:val="16"/>
              </w:rPr>
              <w:t>Food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Process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Design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F0788">
              <w:rPr>
                <w:bCs/>
                <w:sz w:val="16"/>
                <w:szCs w:val="16"/>
              </w:rPr>
              <w:t>Marcel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Dekker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, </w:t>
            </w:r>
            <w:r w:rsidRPr="00AF0788">
              <w:rPr>
                <w:sz w:val="16"/>
                <w:szCs w:val="16"/>
              </w:rPr>
              <w:t>New York:</w:t>
            </w:r>
            <w:r w:rsidRPr="00AF0788">
              <w:rPr>
                <w:bCs/>
                <w:sz w:val="16"/>
                <w:szCs w:val="16"/>
              </w:rPr>
              <w:t xml:space="preserve"> 2003</w:t>
            </w:r>
          </w:p>
          <w:p w:rsidR="00894F8C" w:rsidRPr="00AF0788" w:rsidRDefault="00894F8C" w:rsidP="003D329E">
            <w:pPr>
              <w:pStyle w:val="RefsBibl"/>
              <w:numPr>
                <w:ilvl w:val="0"/>
                <w:numId w:val="1"/>
              </w:numPr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</w:pPr>
            <w:proofErr w:type="spellStart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>Seider</w:t>
            </w:r>
            <w:proofErr w:type="spellEnd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>, W.D</w:t>
            </w:r>
            <w:proofErr w:type="gramStart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>.,</w:t>
            </w:r>
            <w:proofErr w:type="gramEnd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>Seader</w:t>
            </w:r>
            <w:proofErr w:type="spellEnd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 xml:space="preserve">, J.D., </w:t>
            </w:r>
            <w:proofErr w:type="spellStart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>Lewin</w:t>
            </w:r>
            <w:proofErr w:type="spellEnd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 xml:space="preserve">, D.R., </w:t>
            </w:r>
            <w:proofErr w:type="spellStart"/>
            <w:r w:rsidR="003D329E"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>Process</w:t>
            </w:r>
            <w:proofErr w:type="spellEnd"/>
            <w:r w:rsidR="003D329E"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3D329E"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>Design</w:t>
            </w:r>
            <w:proofErr w:type="spellEnd"/>
            <w:r w:rsidR="003D329E"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3D329E"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>Principles</w:t>
            </w:r>
            <w:proofErr w:type="spellEnd"/>
            <w:r w:rsidR="003D329E"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 xml:space="preserve">, John </w:t>
            </w:r>
            <w:proofErr w:type="spellStart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>Wiley</w:t>
            </w:r>
            <w:proofErr w:type="spellEnd"/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 xml:space="preserve">, </w:t>
            </w:r>
            <w:r w:rsidRPr="00AF0788">
              <w:rPr>
                <w:rFonts w:ascii="Verdana" w:hAnsi="Verdana"/>
                <w:sz w:val="16"/>
                <w:szCs w:val="16"/>
                <w:lang w:val="tr-TR"/>
              </w:rPr>
              <w:t>New York:</w:t>
            </w:r>
            <w:r w:rsidRPr="00AF0788">
              <w:rPr>
                <w:rFonts w:ascii="Verdana" w:eastAsia="Times New Roman" w:hAnsi="Verdana"/>
                <w:bCs/>
                <w:spacing w:val="0"/>
                <w:kern w:val="0"/>
                <w:sz w:val="16"/>
                <w:szCs w:val="16"/>
                <w:lang w:val="tr-TR" w:eastAsia="tr-TR"/>
              </w:rPr>
              <w:t xml:space="preserve"> 1999</w:t>
            </w:r>
          </w:p>
          <w:p w:rsidR="00894F8C" w:rsidRPr="00AF0788" w:rsidRDefault="00894F8C" w:rsidP="003D329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AF0788">
              <w:rPr>
                <w:bCs/>
                <w:sz w:val="16"/>
                <w:szCs w:val="16"/>
              </w:rPr>
              <w:t>Peters</w:t>
            </w:r>
            <w:proofErr w:type="spellEnd"/>
            <w:r w:rsidRPr="00AF0788">
              <w:rPr>
                <w:bCs/>
                <w:sz w:val="16"/>
                <w:szCs w:val="16"/>
              </w:rPr>
              <w:t>, M.S</w:t>
            </w:r>
            <w:proofErr w:type="gramStart"/>
            <w:r w:rsidRPr="00AF0788">
              <w:rPr>
                <w:bCs/>
                <w:sz w:val="16"/>
                <w:szCs w:val="16"/>
              </w:rPr>
              <w:t>.,</w:t>
            </w:r>
            <w:proofErr w:type="gram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Timmerhous</w:t>
            </w:r>
            <w:proofErr w:type="spellEnd"/>
            <w:r w:rsidRPr="00AF0788">
              <w:rPr>
                <w:bCs/>
                <w:sz w:val="16"/>
                <w:szCs w:val="16"/>
              </w:rPr>
              <w:t>, K.D.,</w:t>
            </w:r>
            <w:r w:rsidR="003D329E"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3D329E" w:rsidRPr="00AF0788">
              <w:rPr>
                <w:bCs/>
                <w:sz w:val="16"/>
                <w:szCs w:val="16"/>
              </w:rPr>
              <w:t>and</w:t>
            </w:r>
            <w:proofErr w:type="spellEnd"/>
            <w:r w:rsidR="003D329E" w:rsidRPr="00AF0788">
              <w:rPr>
                <w:bCs/>
                <w:sz w:val="16"/>
                <w:szCs w:val="16"/>
              </w:rPr>
              <w:t xml:space="preserve"> West, R., </w:t>
            </w:r>
            <w:proofErr w:type="spellStart"/>
            <w:r w:rsidR="003D329E" w:rsidRPr="00AF0788">
              <w:rPr>
                <w:bCs/>
                <w:sz w:val="16"/>
                <w:szCs w:val="16"/>
              </w:rPr>
              <w:t>Plant</w:t>
            </w:r>
            <w:proofErr w:type="spellEnd"/>
            <w:r w:rsidR="003D329E"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3D329E" w:rsidRPr="00AF0788">
              <w:rPr>
                <w:bCs/>
                <w:sz w:val="16"/>
                <w:szCs w:val="16"/>
              </w:rPr>
              <w:t>Design</w:t>
            </w:r>
            <w:proofErr w:type="spellEnd"/>
            <w:r w:rsidR="003D329E"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3D329E" w:rsidRPr="00AF0788">
              <w:rPr>
                <w:bCs/>
                <w:sz w:val="16"/>
                <w:szCs w:val="16"/>
              </w:rPr>
              <w:t>and</w:t>
            </w:r>
            <w:proofErr w:type="spellEnd"/>
            <w:r w:rsidR="003D329E"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Econom</w:t>
            </w:r>
            <w:r w:rsidRPr="00AF0788">
              <w:rPr>
                <w:sz w:val="16"/>
                <w:szCs w:val="16"/>
              </w:rPr>
              <w:t>ics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for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Chemical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Engineers</w:t>
            </w:r>
            <w:proofErr w:type="spellEnd"/>
            <w:r w:rsidRPr="00AF0788">
              <w:rPr>
                <w:sz w:val="16"/>
                <w:szCs w:val="16"/>
              </w:rPr>
              <w:t>, 5</w:t>
            </w:r>
            <w:r w:rsidRPr="00AF0788">
              <w:rPr>
                <w:sz w:val="16"/>
                <w:szCs w:val="16"/>
                <w:vertAlign w:val="superscript"/>
              </w:rPr>
              <w:t>th</w:t>
            </w:r>
            <w:r w:rsidRPr="00AF0788">
              <w:rPr>
                <w:sz w:val="16"/>
                <w:szCs w:val="16"/>
              </w:rPr>
              <w:t xml:space="preserve"> Ed., New York; </w:t>
            </w:r>
            <w:proofErr w:type="spellStart"/>
            <w:r w:rsidRPr="00AF0788">
              <w:rPr>
                <w:sz w:val="16"/>
                <w:szCs w:val="16"/>
              </w:rPr>
              <w:t>London</w:t>
            </w:r>
            <w:proofErr w:type="spellEnd"/>
            <w:r w:rsidRPr="00AF0788">
              <w:rPr>
                <w:sz w:val="16"/>
                <w:szCs w:val="16"/>
              </w:rPr>
              <w:t xml:space="preserve">: </w:t>
            </w:r>
            <w:proofErr w:type="spellStart"/>
            <w:r w:rsidRPr="00AF0788">
              <w:rPr>
                <w:sz w:val="16"/>
                <w:szCs w:val="16"/>
              </w:rPr>
              <w:t>McGraw</w:t>
            </w:r>
            <w:proofErr w:type="spellEnd"/>
            <w:r w:rsidRPr="00AF0788">
              <w:rPr>
                <w:sz w:val="16"/>
                <w:szCs w:val="16"/>
              </w:rPr>
              <w:t>-</w:t>
            </w:r>
            <w:proofErr w:type="spellStart"/>
            <w:r w:rsidRPr="00AF0788">
              <w:rPr>
                <w:sz w:val="16"/>
                <w:szCs w:val="16"/>
              </w:rPr>
              <w:t>Hill</w:t>
            </w:r>
            <w:proofErr w:type="spellEnd"/>
            <w:r w:rsidRPr="00AF0788">
              <w:rPr>
                <w:sz w:val="16"/>
                <w:szCs w:val="16"/>
              </w:rPr>
              <w:t>, 2003</w:t>
            </w:r>
          </w:p>
          <w:p w:rsidR="00894F8C" w:rsidRPr="00AF0788" w:rsidRDefault="00894F8C" w:rsidP="003D329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AF0788">
              <w:rPr>
                <w:bCs/>
                <w:sz w:val="16"/>
                <w:szCs w:val="16"/>
              </w:rPr>
              <w:t>Saravacos</w:t>
            </w:r>
            <w:proofErr w:type="spellEnd"/>
            <w:r w:rsidRPr="00AF0788">
              <w:rPr>
                <w:bCs/>
                <w:sz w:val="16"/>
                <w:szCs w:val="16"/>
              </w:rPr>
              <w:t>, G.D</w:t>
            </w:r>
            <w:proofErr w:type="gramStart"/>
            <w:r w:rsidRPr="00AF0788">
              <w:rPr>
                <w:bCs/>
                <w:sz w:val="16"/>
                <w:szCs w:val="16"/>
              </w:rPr>
              <w:t>.,</w:t>
            </w:r>
            <w:proofErr w:type="gram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and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Kostaropoulos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, A.E., </w:t>
            </w:r>
            <w:proofErr w:type="spellStart"/>
            <w:r w:rsidRPr="00AF0788">
              <w:rPr>
                <w:bCs/>
                <w:sz w:val="16"/>
                <w:szCs w:val="16"/>
              </w:rPr>
              <w:t>Handbook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AF0788">
              <w:rPr>
                <w:bCs/>
                <w:sz w:val="16"/>
                <w:szCs w:val="16"/>
              </w:rPr>
              <w:t>food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processing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equipment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F0788">
              <w:rPr>
                <w:bCs/>
                <w:sz w:val="16"/>
                <w:szCs w:val="16"/>
              </w:rPr>
              <w:t>Food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Engineering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Series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F0788">
              <w:rPr>
                <w:bCs/>
                <w:sz w:val="16"/>
                <w:szCs w:val="16"/>
              </w:rPr>
              <w:t>Kluwer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Academic</w:t>
            </w:r>
            <w:proofErr w:type="spellEnd"/>
            <w:r w:rsidRPr="00AF0788">
              <w:rPr>
                <w:bCs/>
                <w:sz w:val="16"/>
                <w:szCs w:val="16"/>
              </w:rPr>
              <w:t>-</w:t>
            </w:r>
            <w:proofErr w:type="spellStart"/>
            <w:r w:rsidRPr="00AF0788">
              <w:rPr>
                <w:bCs/>
                <w:sz w:val="16"/>
                <w:szCs w:val="16"/>
              </w:rPr>
              <w:t>Plenum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Press</w:t>
            </w:r>
            <w:proofErr w:type="spellEnd"/>
            <w:r w:rsidRPr="00AF078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bCs/>
                <w:sz w:val="16"/>
                <w:szCs w:val="16"/>
              </w:rPr>
              <w:t>Publishers</w:t>
            </w:r>
            <w:proofErr w:type="spellEnd"/>
            <w:r w:rsidRPr="00AF0788">
              <w:rPr>
                <w:bCs/>
                <w:sz w:val="16"/>
                <w:szCs w:val="16"/>
              </w:rPr>
              <w:t>, New York, 2002</w:t>
            </w:r>
          </w:p>
          <w:p w:rsidR="00894F8C" w:rsidRPr="00AF0788" w:rsidRDefault="00894F8C" w:rsidP="003D329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AF0788">
              <w:rPr>
                <w:sz w:val="16"/>
                <w:szCs w:val="16"/>
              </w:rPr>
              <w:t>Foust</w:t>
            </w:r>
            <w:proofErr w:type="spellEnd"/>
            <w:r w:rsidRPr="00AF0788">
              <w:rPr>
                <w:sz w:val="16"/>
                <w:szCs w:val="16"/>
              </w:rPr>
              <w:t>, A.S</w:t>
            </w:r>
            <w:proofErr w:type="gramStart"/>
            <w:r w:rsidRPr="00AF0788">
              <w:rPr>
                <w:sz w:val="16"/>
                <w:szCs w:val="16"/>
              </w:rPr>
              <w:t>.,</w:t>
            </w:r>
            <w:proofErr w:type="gram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Principles</w:t>
            </w:r>
            <w:proofErr w:type="spellEnd"/>
            <w:r w:rsidRPr="00AF0788">
              <w:rPr>
                <w:sz w:val="16"/>
                <w:szCs w:val="16"/>
              </w:rPr>
              <w:t xml:space="preserve"> of </w:t>
            </w:r>
            <w:proofErr w:type="spellStart"/>
            <w:r w:rsidRPr="00AF0788">
              <w:rPr>
                <w:sz w:val="16"/>
                <w:szCs w:val="16"/>
              </w:rPr>
              <w:t>Unit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Operations</w:t>
            </w:r>
            <w:proofErr w:type="spellEnd"/>
            <w:r w:rsidRPr="00AF0788">
              <w:rPr>
                <w:sz w:val="16"/>
                <w:szCs w:val="16"/>
              </w:rPr>
              <w:t xml:space="preserve">, New York: </w:t>
            </w:r>
            <w:proofErr w:type="spellStart"/>
            <w:r w:rsidRPr="00AF0788">
              <w:rPr>
                <w:sz w:val="16"/>
                <w:szCs w:val="16"/>
              </w:rPr>
              <w:t>Wiley</w:t>
            </w:r>
            <w:proofErr w:type="spellEnd"/>
            <w:r w:rsidRPr="00AF0788">
              <w:rPr>
                <w:sz w:val="16"/>
                <w:szCs w:val="16"/>
              </w:rPr>
              <w:t xml:space="preserve">, 1980 </w:t>
            </w:r>
          </w:p>
          <w:p w:rsidR="00894F8C" w:rsidRPr="00AF0788" w:rsidRDefault="00894F8C" w:rsidP="003D329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AF0788">
              <w:rPr>
                <w:sz w:val="16"/>
                <w:szCs w:val="16"/>
              </w:rPr>
              <w:t>Geankoplis</w:t>
            </w:r>
            <w:proofErr w:type="spellEnd"/>
            <w:r w:rsidRPr="00AF0788">
              <w:rPr>
                <w:sz w:val="16"/>
                <w:szCs w:val="16"/>
              </w:rPr>
              <w:t xml:space="preserve">, C.J. ‘Transport </w:t>
            </w:r>
            <w:proofErr w:type="spellStart"/>
            <w:r w:rsidRPr="00AF0788">
              <w:rPr>
                <w:sz w:val="16"/>
                <w:szCs w:val="16"/>
              </w:rPr>
              <w:t>Processes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and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Separation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Process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Principles</w:t>
            </w:r>
            <w:proofErr w:type="spellEnd"/>
            <w:r w:rsidRPr="00AF0788">
              <w:rPr>
                <w:sz w:val="16"/>
                <w:szCs w:val="16"/>
              </w:rPr>
              <w:t xml:space="preserve"> -</w:t>
            </w:r>
            <w:proofErr w:type="spellStart"/>
            <w:r w:rsidRPr="00AF0788">
              <w:rPr>
                <w:sz w:val="16"/>
                <w:szCs w:val="16"/>
              </w:rPr>
              <w:t>Includes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Unit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Operations</w:t>
            </w:r>
            <w:proofErr w:type="spellEnd"/>
            <w:r w:rsidRPr="00AF0788">
              <w:rPr>
                <w:sz w:val="16"/>
                <w:szCs w:val="16"/>
              </w:rPr>
              <w:t>. 4</w:t>
            </w:r>
            <w:r w:rsidRPr="00AF0788">
              <w:rPr>
                <w:sz w:val="16"/>
                <w:szCs w:val="16"/>
                <w:vertAlign w:val="superscript"/>
              </w:rPr>
              <w:t>th</w:t>
            </w:r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Edition</w:t>
            </w:r>
            <w:proofErr w:type="spellEnd"/>
            <w:r w:rsidRPr="00AF0788">
              <w:rPr>
                <w:sz w:val="16"/>
                <w:szCs w:val="16"/>
              </w:rPr>
              <w:t xml:space="preserve">’ </w:t>
            </w:r>
            <w:proofErr w:type="spellStart"/>
            <w:r w:rsidRPr="00AF0788">
              <w:rPr>
                <w:sz w:val="16"/>
                <w:szCs w:val="16"/>
              </w:rPr>
              <w:t>Pearson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Education</w:t>
            </w:r>
            <w:proofErr w:type="spellEnd"/>
            <w:r w:rsidRPr="00AF0788">
              <w:rPr>
                <w:sz w:val="16"/>
                <w:szCs w:val="16"/>
              </w:rPr>
              <w:t xml:space="preserve">, </w:t>
            </w:r>
            <w:proofErr w:type="spellStart"/>
            <w:r w:rsidRPr="00AF0788">
              <w:rPr>
                <w:sz w:val="16"/>
                <w:szCs w:val="16"/>
              </w:rPr>
              <w:t>Inc</w:t>
            </w:r>
            <w:proofErr w:type="spellEnd"/>
            <w:proofErr w:type="gramStart"/>
            <w:r w:rsidRPr="00AF0788">
              <w:rPr>
                <w:sz w:val="16"/>
                <w:szCs w:val="16"/>
              </w:rPr>
              <w:t>.,</w:t>
            </w:r>
            <w:proofErr w:type="gramEnd"/>
            <w:r w:rsidRPr="00AF0788">
              <w:rPr>
                <w:sz w:val="16"/>
                <w:szCs w:val="16"/>
              </w:rPr>
              <w:t xml:space="preserve"> 2003</w:t>
            </w:r>
          </w:p>
          <w:p w:rsidR="00F12016" w:rsidRPr="00AF0788" w:rsidRDefault="00894F8C" w:rsidP="007A4E55">
            <w:pPr>
              <w:pStyle w:val="ListeParagraf"/>
              <w:numPr>
                <w:ilvl w:val="0"/>
                <w:numId w:val="1"/>
              </w:numPr>
              <w:rPr>
                <w:sz w:val="24"/>
              </w:rPr>
            </w:pPr>
            <w:proofErr w:type="spellStart"/>
            <w:r w:rsidRPr="00AF0788">
              <w:rPr>
                <w:sz w:val="16"/>
                <w:szCs w:val="16"/>
              </w:rPr>
              <w:t>Perry</w:t>
            </w:r>
            <w:proofErr w:type="spellEnd"/>
            <w:r w:rsidRPr="00AF0788">
              <w:rPr>
                <w:sz w:val="16"/>
                <w:szCs w:val="16"/>
              </w:rPr>
              <w:t>, R.H</w:t>
            </w:r>
            <w:proofErr w:type="gramStart"/>
            <w:r w:rsidRPr="00AF0788">
              <w:rPr>
                <w:sz w:val="16"/>
                <w:szCs w:val="16"/>
              </w:rPr>
              <w:t>.,</w:t>
            </w:r>
            <w:proofErr w:type="gram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and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Green</w:t>
            </w:r>
            <w:proofErr w:type="spellEnd"/>
            <w:r w:rsidRPr="00AF0788">
              <w:rPr>
                <w:sz w:val="16"/>
                <w:szCs w:val="16"/>
              </w:rPr>
              <w:t xml:space="preserve">, D.W., </w:t>
            </w:r>
            <w:proofErr w:type="spellStart"/>
            <w:r w:rsidRPr="00AF0788">
              <w:rPr>
                <w:sz w:val="16"/>
                <w:szCs w:val="16"/>
              </w:rPr>
              <w:t>Perry's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Chemical</w:t>
            </w:r>
            <w:proofErr w:type="spellEnd"/>
            <w:r w:rsidRPr="00AF0788">
              <w:rPr>
                <w:sz w:val="16"/>
                <w:szCs w:val="16"/>
              </w:rPr>
              <w:t xml:space="preserve"> </w:t>
            </w:r>
            <w:proofErr w:type="spellStart"/>
            <w:r w:rsidRPr="00AF0788">
              <w:rPr>
                <w:sz w:val="16"/>
                <w:szCs w:val="16"/>
              </w:rPr>
              <w:t>Engineers</w:t>
            </w:r>
            <w:proofErr w:type="spellEnd"/>
            <w:r w:rsidRPr="00AF0788">
              <w:rPr>
                <w:sz w:val="16"/>
                <w:szCs w:val="16"/>
              </w:rPr>
              <w:t xml:space="preserve">' </w:t>
            </w:r>
            <w:proofErr w:type="spellStart"/>
            <w:r w:rsidRPr="00AF0788">
              <w:rPr>
                <w:sz w:val="16"/>
                <w:szCs w:val="16"/>
              </w:rPr>
              <w:t>Handbook</w:t>
            </w:r>
            <w:proofErr w:type="spellEnd"/>
            <w:r w:rsidRPr="00AF0788">
              <w:rPr>
                <w:sz w:val="16"/>
                <w:szCs w:val="16"/>
              </w:rPr>
              <w:t>, 8</w:t>
            </w:r>
            <w:r w:rsidRPr="00AF0788">
              <w:rPr>
                <w:sz w:val="16"/>
                <w:szCs w:val="16"/>
                <w:vertAlign w:val="superscript"/>
              </w:rPr>
              <w:t>th</w:t>
            </w:r>
            <w:r w:rsidRPr="00AF0788">
              <w:rPr>
                <w:sz w:val="16"/>
                <w:szCs w:val="16"/>
              </w:rPr>
              <w:t xml:space="preserve"> Ed., New York : </w:t>
            </w:r>
            <w:proofErr w:type="spellStart"/>
            <w:r w:rsidRPr="00AF0788">
              <w:rPr>
                <w:sz w:val="16"/>
                <w:szCs w:val="16"/>
              </w:rPr>
              <w:t>McGraw</w:t>
            </w:r>
            <w:proofErr w:type="spellEnd"/>
            <w:r w:rsidRPr="00AF0788">
              <w:rPr>
                <w:sz w:val="16"/>
                <w:szCs w:val="16"/>
              </w:rPr>
              <w:t>-</w:t>
            </w:r>
            <w:proofErr w:type="spellStart"/>
            <w:r w:rsidRPr="00AF0788">
              <w:rPr>
                <w:sz w:val="16"/>
                <w:szCs w:val="16"/>
              </w:rPr>
              <w:t>Hill</w:t>
            </w:r>
            <w:proofErr w:type="spellEnd"/>
            <w:r w:rsidRPr="00AF0788">
              <w:rPr>
                <w:sz w:val="16"/>
                <w:szCs w:val="16"/>
              </w:rPr>
              <w:t>, 2008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424110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 xml:space="preserve">Dersin </w:t>
            </w:r>
            <w:r w:rsidR="00F12016" w:rsidRPr="00AF0788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AF0788" w:rsidRDefault="008B2845" w:rsidP="00F12016">
            <w:pPr>
              <w:pStyle w:val="DersBilgileri"/>
              <w:rPr>
                <w:szCs w:val="16"/>
              </w:rPr>
            </w:pPr>
            <w:r w:rsidRPr="00AF0788">
              <w:rPr>
                <w:szCs w:val="16"/>
              </w:rPr>
              <w:t>2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016" w:rsidRPr="00AF0788" w:rsidRDefault="008B2845" w:rsidP="00F12016">
            <w:pPr>
              <w:pStyle w:val="DersBilgileri"/>
              <w:rPr>
                <w:szCs w:val="16"/>
              </w:rPr>
            </w:pPr>
            <w:r w:rsidRPr="00AF0788">
              <w:rPr>
                <w:szCs w:val="16"/>
              </w:rPr>
              <w:t>Yok</w:t>
            </w:r>
          </w:p>
        </w:tc>
      </w:tr>
      <w:tr w:rsidR="00F12016" w:rsidRPr="00AF0788">
        <w:trPr>
          <w:jc w:val="center"/>
        </w:trPr>
        <w:tc>
          <w:tcPr>
            <w:tcW w:w="2745" w:type="dxa"/>
            <w:vAlign w:val="center"/>
          </w:tcPr>
          <w:p w:rsidR="00F12016" w:rsidRPr="00AF0788" w:rsidRDefault="00F12016" w:rsidP="00F12016">
            <w:pPr>
              <w:pStyle w:val="DersBasliklar"/>
              <w:rPr>
                <w:szCs w:val="16"/>
              </w:rPr>
            </w:pPr>
            <w:r w:rsidRPr="00AF0788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AF0788" w:rsidRDefault="008B2845" w:rsidP="00F12016">
            <w:pPr>
              <w:pStyle w:val="DersBilgileri"/>
              <w:rPr>
                <w:szCs w:val="16"/>
              </w:rPr>
            </w:pPr>
            <w:r w:rsidRPr="00AF0788">
              <w:rPr>
                <w:szCs w:val="16"/>
              </w:rPr>
              <w:t>-</w:t>
            </w:r>
          </w:p>
        </w:tc>
      </w:tr>
    </w:tbl>
    <w:p w:rsidR="00F12016" w:rsidRPr="00AF0788" w:rsidRDefault="00F12016" w:rsidP="00F12016">
      <w:pPr>
        <w:rPr>
          <w:sz w:val="16"/>
          <w:szCs w:val="16"/>
        </w:rPr>
      </w:pPr>
    </w:p>
    <w:p w:rsidR="00F12016" w:rsidRPr="00AF0788" w:rsidRDefault="00F12016"/>
    <w:sectPr w:rsidR="00F12016" w:rsidRPr="00AF0788" w:rsidSect="00E1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rkish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F5FD2"/>
    <w:multiLevelType w:val="hybridMultilevel"/>
    <w:tmpl w:val="7422D908"/>
    <w:lvl w:ilvl="0" w:tplc="D5B05F60">
      <w:numFmt w:val="bullet"/>
      <w:lvlText w:val="-"/>
      <w:lvlJc w:val="left"/>
      <w:pPr>
        <w:ind w:left="36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12016"/>
    <w:rsid w:val="0009049C"/>
    <w:rsid w:val="000D3689"/>
    <w:rsid w:val="002D6D53"/>
    <w:rsid w:val="003D329E"/>
    <w:rsid w:val="003E587E"/>
    <w:rsid w:val="00424110"/>
    <w:rsid w:val="00436DA6"/>
    <w:rsid w:val="004A628E"/>
    <w:rsid w:val="00547929"/>
    <w:rsid w:val="00662297"/>
    <w:rsid w:val="006A4A02"/>
    <w:rsid w:val="007A4E55"/>
    <w:rsid w:val="00894F8C"/>
    <w:rsid w:val="008B2845"/>
    <w:rsid w:val="009E3311"/>
    <w:rsid w:val="00AF0788"/>
    <w:rsid w:val="00B26735"/>
    <w:rsid w:val="00B97DDC"/>
    <w:rsid w:val="00E14BA2"/>
    <w:rsid w:val="00F12016"/>
    <w:rsid w:val="00F7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894F8C"/>
    <w:rPr>
      <w:rFonts w:ascii="Turkish Times New Roman" w:hAnsi="Turkish Times New Roman"/>
      <w:szCs w:val="20"/>
      <w:lang w:val="en-AU"/>
    </w:rPr>
  </w:style>
  <w:style w:type="character" w:customStyle="1" w:styleId="GvdeMetniChar">
    <w:name w:val="Gövde Metni Char"/>
    <w:basedOn w:val="VarsaylanParagrafYazTipi"/>
    <w:link w:val="GvdeMetni"/>
    <w:rsid w:val="00894F8C"/>
    <w:rPr>
      <w:rFonts w:ascii="Turkish Times New Roman" w:hAnsi="Turkish Times New Roman"/>
      <w:lang w:val="en-AU"/>
    </w:rPr>
  </w:style>
  <w:style w:type="paragraph" w:customStyle="1" w:styleId="RefsBibl">
    <w:name w:val="Refs/Bibl"/>
    <w:aliases w:val="Alt+re"/>
    <w:basedOn w:val="Normal"/>
    <w:rsid w:val="00894F8C"/>
    <w:pPr>
      <w:tabs>
        <w:tab w:val="right" w:pos="240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eastAsia="MS Mincho" w:hAnsi="Times New Roman"/>
      <w:spacing w:val="-2"/>
      <w:kern w:val="28"/>
      <w:sz w:val="18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3D3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naciye</cp:lastModifiedBy>
  <cp:revision>7</cp:revision>
  <dcterms:created xsi:type="dcterms:W3CDTF">2017-01-27T08:26:00Z</dcterms:created>
  <dcterms:modified xsi:type="dcterms:W3CDTF">2018-02-13T13:03:00Z</dcterms:modified>
</cp:coreProperties>
</file>