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73" w:rsidRDefault="00071073" w:rsidP="00071073">
      <w:pPr>
        <w:pStyle w:val="AralkYok"/>
        <w:jc w:val="both"/>
        <w:rPr>
          <w:b/>
          <w:highlight w:val="yellow"/>
        </w:rPr>
      </w:pPr>
      <w:r>
        <w:rPr>
          <w:b/>
          <w:highlight w:val="yellow"/>
          <w:u w:val="single"/>
        </w:rPr>
        <w:t>DÖRDÜNCÜ HAFTA:</w:t>
      </w:r>
      <w:r>
        <w:rPr>
          <w:b/>
          <w:highlight w:val="yellow"/>
        </w:rPr>
        <w:t xml:space="preserve"> </w:t>
      </w:r>
    </w:p>
    <w:p w:rsidR="00071073" w:rsidRDefault="00071073" w:rsidP="00071073">
      <w:pPr>
        <w:pStyle w:val="AralkYok"/>
        <w:jc w:val="both"/>
        <w:rPr>
          <w:b/>
        </w:rPr>
      </w:pPr>
      <w:r>
        <w:rPr>
          <w:b/>
          <w:highlight w:val="green"/>
        </w:rPr>
        <w:t>CEZA KANU</w:t>
      </w:r>
      <w:r w:rsidR="00B8389D">
        <w:rPr>
          <w:b/>
          <w:highlight w:val="green"/>
        </w:rPr>
        <w:t>NLARININ KİŞİ YÖNÜNDEN UYGULANMASI</w:t>
      </w:r>
      <w:bookmarkStart w:id="0" w:name="_GoBack"/>
      <w:bookmarkEnd w:id="0"/>
    </w:p>
    <w:p w:rsidR="00071073" w:rsidRDefault="00071073" w:rsidP="00071073">
      <w:pPr>
        <w:pStyle w:val="AralkYok"/>
        <w:jc w:val="both"/>
      </w:pPr>
    </w:p>
    <w:p w:rsidR="00071073" w:rsidRDefault="00071073" w:rsidP="00071073">
      <w:pPr>
        <w:pStyle w:val="AralkYok"/>
        <w:jc w:val="both"/>
      </w:pPr>
      <w:r>
        <w:t>KANUNUN MECBURİLİĞİ</w:t>
      </w:r>
    </w:p>
    <w:p w:rsidR="00071073" w:rsidRDefault="00071073" w:rsidP="00071073">
      <w:pPr>
        <w:pStyle w:val="AralkYok"/>
        <w:jc w:val="both"/>
      </w:pPr>
      <w:r>
        <w:t xml:space="preserve">“Ceza kanunlarının </w:t>
      </w:r>
      <w:proofErr w:type="spellStart"/>
      <w:r>
        <w:t>mecburiliği</w:t>
      </w:r>
      <w:proofErr w:type="spellEnd"/>
      <w:r>
        <w:t xml:space="preserve">” ilkesinin bir sonucu olarak, ceza kanunları ülkede yaşayan herkese uygulanır. Bunun sonucu olarak Türkiye’de suç işleyen bir kişi, Türk kanunlarına göre cezalandırılacaktır. Ancak, iç kamu hukuku ve uluslararası hukuk bu duruma bazı istisnalar getirmiş olabilir. Cumhurbaşkanı, diplomatlar, yabancı askerler ve milletvekilleri bu istisnadan yararlanırlar. </w:t>
      </w:r>
    </w:p>
    <w:p w:rsidR="00071073" w:rsidRDefault="00071073" w:rsidP="00071073">
      <w:pPr>
        <w:pStyle w:val="AralkYok"/>
        <w:jc w:val="both"/>
      </w:pPr>
    </w:p>
    <w:p w:rsidR="00071073" w:rsidRDefault="00071073" w:rsidP="00071073">
      <w:pPr>
        <w:pStyle w:val="AralkYok"/>
        <w:jc w:val="both"/>
        <w:rPr>
          <w:b/>
        </w:rPr>
      </w:pPr>
      <w:r>
        <w:rPr>
          <w:b/>
        </w:rPr>
        <w:t xml:space="preserve">1- CUMHURBAŞKANININ SORUMLULUĞU </w:t>
      </w:r>
    </w:p>
    <w:p w:rsidR="00071073" w:rsidRDefault="00071073" w:rsidP="00071073">
      <w:pPr>
        <w:pStyle w:val="AralkYok"/>
        <w:jc w:val="both"/>
        <w:rPr>
          <w:bCs/>
        </w:rPr>
      </w:pPr>
      <w:r>
        <w:rPr>
          <w:bCs/>
        </w:rPr>
        <w:t>ANAYASAMADDE 105</w:t>
      </w:r>
    </w:p>
    <w:p w:rsidR="00071073" w:rsidRDefault="00071073" w:rsidP="00071073">
      <w:pPr>
        <w:pStyle w:val="AralkYok"/>
        <w:jc w:val="both"/>
      </w:pPr>
      <w:r>
        <w:t>Cumhurbaşkanının, Anayasa ve diğer kanunlarda Başbakan ve ilgili bakanın imzalarına gerek olmaksızın tek başına yapabileceği belirtilen işlemleri dışındaki bütün kararları, Başbakan ve ilgili bakanlarca imzalanır; bu kararlardan Başbakan ve ilgili bakan sorumludur.</w:t>
      </w:r>
    </w:p>
    <w:p w:rsidR="00071073" w:rsidRDefault="00071073" w:rsidP="00071073">
      <w:pPr>
        <w:pStyle w:val="AralkYok"/>
        <w:jc w:val="both"/>
      </w:pPr>
      <w:r>
        <w:t xml:space="preserve">Cumhurbaşkanının resen imzaladığı kararlar ve emirler aleyhine Anayasa Mahkemesi </w:t>
      </w:r>
      <w:proofErr w:type="gramStart"/>
      <w:r>
        <w:t>dahil</w:t>
      </w:r>
      <w:proofErr w:type="gramEnd"/>
      <w:r>
        <w:t>, yargı mercilerine başvurulamaz.</w:t>
      </w:r>
    </w:p>
    <w:p w:rsidR="00071073" w:rsidRDefault="00071073" w:rsidP="00071073">
      <w:pPr>
        <w:pStyle w:val="AralkYok"/>
        <w:jc w:val="both"/>
        <w:rPr>
          <w:u w:val="single"/>
        </w:rPr>
      </w:pPr>
      <w:r>
        <w:rPr>
          <w:u w:val="single"/>
        </w:rPr>
        <w:t xml:space="preserve">Cumhurbaşkanı, vatana ihanetten dolayı, Türkiye Büyük Millet Meclisi üye tamsayısının en az üçte birinin teklifi üzerine, üye tamsayısının en az dörtte üçünün vereceği kararla </w:t>
      </w:r>
      <w:proofErr w:type="spellStart"/>
      <w:r>
        <w:rPr>
          <w:u w:val="single"/>
        </w:rPr>
        <w:t>suçlandırılır</w:t>
      </w:r>
      <w:proofErr w:type="spellEnd"/>
      <w:r>
        <w:rPr>
          <w:u w:val="single"/>
        </w:rPr>
        <w:t>.</w:t>
      </w:r>
      <w:r>
        <w:rPr>
          <w:bCs/>
          <w:u w:val="single"/>
        </w:rPr>
        <w:t> </w:t>
      </w:r>
    </w:p>
    <w:p w:rsidR="00071073" w:rsidRDefault="00071073" w:rsidP="00071073">
      <w:pPr>
        <w:pStyle w:val="AralkYok"/>
        <w:jc w:val="both"/>
      </w:pPr>
    </w:p>
    <w:p w:rsidR="00071073" w:rsidRDefault="00071073" w:rsidP="00071073">
      <w:pPr>
        <w:pStyle w:val="AralkYok"/>
        <w:jc w:val="both"/>
      </w:pPr>
      <w:r>
        <w:t xml:space="preserve">Ceza kanunlarının kişi yönünden uygulanmasına getirilen ilk sınırlama, cumhurbaşkanının göreviyle ilgili işlemlerinden dolayı sorumlu tutulmamasıdır. Bu istisna Anayasanın 105. maddesinde düzenlenmiştir. Bu durumda 148. maddeye göre Cumhurbaşkanının yargılanması, Yüce Divan sıfatıyla Anayasa Mahkemesi tarafından yapılacaktır. </w:t>
      </w:r>
    </w:p>
    <w:p w:rsidR="00071073" w:rsidRDefault="00071073" w:rsidP="00071073">
      <w:pPr>
        <w:pStyle w:val="AralkYok"/>
        <w:jc w:val="both"/>
      </w:pPr>
    </w:p>
    <w:p w:rsidR="00071073" w:rsidRDefault="00071073" w:rsidP="00071073">
      <w:pPr>
        <w:pStyle w:val="AralkYok"/>
        <w:jc w:val="both"/>
      </w:pPr>
      <w:r>
        <w:rPr>
          <w:highlight w:val="yellow"/>
        </w:rPr>
        <w:t>NOT:</w:t>
      </w:r>
      <w:r>
        <w:t xml:space="preserve"> Anayasa değişiklikleri 2019’da yürürlüğe girdiğinde bu maddedeki oranlar değişecektir. </w:t>
      </w:r>
    </w:p>
    <w:p w:rsidR="00071073" w:rsidRDefault="00071073" w:rsidP="00071073">
      <w:pPr>
        <w:pStyle w:val="AralkYok"/>
        <w:jc w:val="both"/>
      </w:pPr>
    </w:p>
    <w:p w:rsidR="00071073" w:rsidRDefault="00071073" w:rsidP="00071073">
      <w:pPr>
        <w:pStyle w:val="AralkYok"/>
        <w:jc w:val="both"/>
        <w:rPr>
          <w:b/>
        </w:rPr>
      </w:pPr>
      <w:r>
        <w:rPr>
          <w:b/>
        </w:rPr>
        <w:t xml:space="preserve">2- YASAMA SORUMSUZLUĞU VE DOKUNULMAZLIĞI </w:t>
      </w:r>
    </w:p>
    <w:p w:rsidR="00071073" w:rsidRDefault="00071073" w:rsidP="00071073">
      <w:pPr>
        <w:pStyle w:val="AralkYok"/>
        <w:jc w:val="both"/>
        <w:rPr>
          <w:bCs/>
        </w:rPr>
      </w:pPr>
      <w:r>
        <w:rPr>
          <w:bCs/>
        </w:rPr>
        <w:t>ANAYASA MADDE 83</w:t>
      </w:r>
    </w:p>
    <w:p w:rsidR="00071073" w:rsidRDefault="00071073" w:rsidP="00071073">
      <w:pPr>
        <w:pStyle w:val="AralkYok"/>
        <w:jc w:val="both"/>
        <w:rPr>
          <w:u w:val="single"/>
        </w:rPr>
      </w:pPr>
      <w:r>
        <w:rPr>
          <w:u w:val="single"/>
        </w:rPr>
        <w:lastRenderedPageBreak/>
        <w:t xml:space="preserve">Türkiye Büyük Millet Meclisi üyeleri, Meclis çalışmalarındaki oy ve sözlerinden, Mecliste ileri sürdükleri düşüncelerden, o oturumdaki Başkanlık Divanının teklifi üzerine </w:t>
      </w:r>
      <w:proofErr w:type="spellStart"/>
      <w:r>
        <w:rPr>
          <w:u w:val="single"/>
        </w:rPr>
        <w:t>Meclisce</w:t>
      </w:r>
      <w:proofErr w:type="spellEnd"/>
      <w:r>
        <w:rPr>
          <w:u w:val="single"/>
        </w:rPr>
        <w:t xml:space="preserve"> başka bir karar alınmadıkça bunları Meclis dışında tekrarlamak ve açığa vurmaktan sorumlu tutulamazlar.</w:t>
      </w:r>
    </w:p>
    <w:p w:rsidR="00071073" w:rsidRDefault="00071073" w:rsidP="00071073">
      <w:pPr>
        <w:pStyle w:val="AralkYok"/>
        <w:jc w:val="both"/>
        <w:rPr>
          <w:u w:val="single"/>
        </w:rPr>
      </w:pPr>
      <w:r>
        <w:rPr>
          <w:u w:val="single"/>
        </w:rPr>
        <w:t>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 Ancak, bu halde yetkili makam, durumu hemen ve doğrudan doğruya Türkiye Büyük Millet Meclisine bildirmek zorundadır.</w:t>
      </w:r>
    </w:p>
    <w:p w:rsidR="00071073" w:rsidRDefault="00071073" w:rsidP="00071073">
      <w:pPr>
        <w:pStyle w:val="AralkYok"/>
        <w:jc w:val="both"/>
      </w:pPr>
      <w:r>
        <w:t>Türkiye Büyük Millet Meclisi üyesi hakkında, seçiminden önce veya sonra verilmiş bir ceza hükmünün yerine getirilmesi, üyelik sıfatının sona ermesine bırakılır; üyelik süresince zamanaşımı işlemez.</w:t>
      </w:r>
    </w:p>
    <w:p w:rsidR="00071073" w:rsidRDefault="00071073" w:rsidP="00071073">
      <w:pPr>
        <w:pStyle w:val="AralkYok"/>
        <w:jc w:val="both"/>
      </w:pPr>
      <w:r>
        <w:t>Tekrar seçilen milletvekili hakkında soruşturma ve kovuşturma, Meclisin yeniden dokunulmazlığını kaldırmasına bağlıdır.</w:t>
      </w:r>
    </w:p>
    <w:p w:rsidR="00071073" w:rsidRDefault="00071073" w:rsidP="00071073">
      <w:pPr>
        <w:pStyle w:val="AralkYok"/>
        <w:jc w:val="both"/>
      </w:pPr>
      <w:r>
        <w:t>Türkiye Büyük Millet Meclisindeki siyasî parti gruplarınca, yasama dokunulmazlığı ile ilgili görüşme yapılamaz ve karar alınamaz.</w:t>
      </w:r>
    </w:p>
    <w:p w:rsidR="00071073" w:rsidRDefault="00071073" w:rsidP="00071073">
      <w:pPr>
        <w:pStyle w:val="AralkYok"/>
        <w:jc w:val="both"/>
        <w:rPr>
          <w:bCs/>
        </w:rPr>
      </w:pPr>
    </w:p>
    <w:p w:rsidR="00071073" w:rsidRDefault="00071073" w:rsidP="00071073">
      <w:pPr>
        <w:pStyle w:val="AralkYok"/>
        <w:jc w:val="both"/>
        <w:rPr>
          <w:bCs/>
        </w:rPr>
      </w:pPr>
      <w:r>
        <w:rPr>
          <w:bCs/>
        </w:rPr>
        <w:t xml:space="preserve">Anayasa’da “Yasama dokunulmazlığı” kenar başlıklı 83. maddede hem yasama sorumsuzluğu (mutlak dokunulmazlık) hem de yasama dokunulmazlığı (nispi dokunulmazlık) düzenlenmiştir. Bu nedenle anayasa hukukçuları, her iki kurumu birden ifade etmek için “yasama bağışıklığı” ifadesini de kullanmaktadırlar. </w:t>
      </w:r>
    </w:p>
    <w:p w:rsidR="00071073" w:rsidRDefault="00071073" w:rsidP="00071073">
      <w:pPr>
        <w:pStyle w:val="AralkYok"/>
        <w:jc w:val="both"/>
        <w:rPr>
          <w:bCs/>
        </w:rPr>
      </w:pPr>
    </w:p>
    <w:p w:rsidR="00071073" w:rsidRDefault="00071073" w:rsidP="00071073">
      <w:pPr>
        <w:pStyle w:val="AralkYok"/>
        <w:jc w:val="both"/>
      </w:pPr>
      <w:r>
        <w:t xml:space="preserve">Anayasa m. 83/f.1’de </w:t>
      </w:r>
      <w:r>
        <w:rPr>
          <w:i/>
        </w:rPr>
        <w:t xml:space="preserve">“Türkiye Büyük Millet Meclisi üyeleri, Meclis çalışmalarındaki oy ve sözlerinden, Mecliste ileri sürdükleri düşüncelerden, o oturumdaki Başkanlık Divanının teklifi üzerine </w:t>
      </w:r>
      <w:proofErr w:type="spellStart"/>
      <w:r>
        <w:rPr>
          <w:i/>
        </w:rPr>
        <w:t>Meclisce</w:t>
      </w:r>
      <w:proofErr w:type="spellEnd"/>
      <w:r>
        <w:rPr>
          <w:i/>
        </w:rPr>
        <w:t xml:space="preserve"> başka bir karar alınmadıkça bunları Meclis dışında tekrarlamak ve açığa vurmaktan sorumlu tutulamazlar.”</w:t>
      </w:r>
      <w:r>
        <w:t xml:space="preserve"> denilmektedir. Yasama sorumsuzluğu, milli iradenin tam bir serbestlik içinde oluşmasını sağlamak, milletvekillerinin meclis çalışmaları sırasında fikirlerini serbestçe ifade edebilmeleri ve yasama görevlerini özgürce yerine getirebilmeleri amacıyla kabul edilmiştir. Buna “kürsü dokunulmazlığı” da denir. Bundan sadece ilgili milletvekili yararlanabilir ve bu sorumsuzluk TBMM üyesinin şahsı ile sınırlıdır. Buradaki sorumsuzluk, fiilin hukuka aykırılığını ortadan kaldırmaz, bu nedenle TBMM üyesinin fiiline iştirak eden diğer kişilerin sorumluluğu devam eder.</w:t>
      </w:r>
    </w:p>
    <w:p w:rsidR="00071073" w:rsidRDefault="00071073" w:rsidP="00071073">
      <w:pPr>
        <w:pStyle w:val="AralkYok"/>
        <w:jc w:val="both"/>
      </w:pPr>
    </w:p>
    <w:p w:rsidR="00071073" w:rsidRDefault="00071073" w:rsidP="00071073">
      <w:pPr>
        <w:pStyle w:val="AralkYok"/>
        <w:jc w:val="both"/>
      </w:pPr>
      <w:r>
        <w:t xml:space="preserve">Anayasa m. 83/f.2’de ise </w:t>
      </w:r>
      <w:r>
        <w:rPr>
          <w:i/>
        </w:rPr>
        <w:t>“Seçimden önce veya sonra bir suç işlediği ileri sürülen bir milletvekili, Meclisin kararı olmadıkça tutulamaz, sorguya çekilemez, tutuklanamaz ve yargılanamaz.”</w:t>
      </w:r>
      <w:r>
        <w:t xml:space="preserve"> denilmektedir. Yasama dokunulmazlığı ise özellikle muhalif milletvekillerini iktidarın muhtemel baskılarından korumak için kabul edilmiştir. Yasama dokunulmazlığının amacı meclis kararı olmadan milletvekilleri hakkında bazı muhakeme işlemlerinin ve ceza kovuşturması yapılmasını engellemektir. Dokunulmazlıktan yararlanan milletvekili hakkında </w:t>
      </w:r>
      <w:r>
        <w:lastRenderedPageBreak/>
        <w:t xml:space="preserve">tutulma, tutuklama, sorguya çekilme ve yargılama ancak Meclisin kararıyla yapılabilir. Ağır cezayı gerektiren suçüstü hali ve seçimden önce soruşturmasına başlanılmış olmak kaydıyla Anayasanın 14 üncü maddesindeki durumlarda ise meclis kararı olmadan bu işlemler yapılabilir. </w:t>
      </w: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rPr>
          <w:b/>
        </w:rPr>
      </w:pPr>
      <w:r>
        <w:rPr>
          <w:b/>
        </w:rPr>
        <w:t>3- DİPLOMASİ DOKUNULMAZLIĞI</w:t>
      </w:r>
    </w:p>
    <w:p w:rsidR="00071073" w:rsidRDefault="00071073" w:rsidP="00071073">
      <w:pPr>
        <w:pStyle w:val="AralkYok"/>
        <w:jc w:val="both"/>
      </w:pPr>
      <w:r>
        <w:t>Diplomatik dokunulmazlıktan yararlananlar bulundukları ülkede yargılanmamaktadırlar.  Ancak bu kişilerin sıfatlarından kaynaklanan bu muafiyetleri suçu ortadan kaldırmaz. Bu kişiler tek başlarına bir suç işlemişlerse, fiil suç olmasına rağmen bulundukları ülkede cezalandırılamazlar. İştirak halinde işlenen bir suç söz konusuysa, diplomatik dokunulmazlığı olmayan diğer iştirakçiler hakkında bütün muhakeme işlemleri yapılabilir ve cezalandırılabilirler.</w:t>
      </w: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rPr>
          <w:b/>
        </w:rPr>
      </w:pPr>
      <w:r>
        <w:rPr>
          <w:b/>
        </w:rPr>
        <w:t>4-ASKERİ İŞBİRLİĞİ ANTLAŞMALARINDAN KAYNAKLANAN DOKUNULMAZLIK</w:t>
      </w:r>
    </w:p>
    <w:p w:rsidR="00071073" w:rsidRDefault="00071073" w:rsidP="00071073">
      <w:pPr>
        <w:pStyle w:val="AralkYok"/>
        <w:jc w:val="both"/>
      </w:pPr>
      <w:r>
        <w:t xml:space="preserve">2. Dünya Savaşının ardından güvenlik ve askeri işbirliği nedeniyle bir başka asker gönderen devletler, gönderdikleri askerlerin gönderilen ülkede suç işlemeleri halinde doğabilecek sorunları çözmek amacıyla asker kabul eden devletlerle bu konuları düzenleyen anlaşmalar yapmışlardır. Bunların ülkemiz açından </w:t>
      </w:r>
      <w:proofErr w:type="spellStart"/>
      <w:r>
        <w:t>başlıcası</w:t>
      </w:r>
      <w:proofErr w:type="spellEnd"/>
      <w:r>
        <w:t xml:space="preserve"> NATO Sözleşmesidir. Buna göre sözleşmede yer alan bazı fiillerin asker kabul eden devlette yargılanması mümkün değildir. Bunun dışında kalanlar ise asker kabul eden devlette yargılanabilecektir. Bu tür bir yargılama istisnasından yararlanan diğer kişiler, sıfatlarına göre askeri mahkemelerde ya da genel görevli ceza mahkemelerinde yargılanabileceklerdir.     .  </w:t>
      </w: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071073" w:rsidRDefault="00071073" w:rsidP="00071073">
      <w:pPr>
        <w:pStyle w:val="AralkYok"/>
        <w:jc w:val="both"/>
      </w:pPr>
    </w:p>
    <w:p w:rsidR="00A0486B" w:rsidRDefault="00A0486B"/>
    <w:sectPr w:rsidR="00A04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71073"/>
    <w:rsid w:val="00071073"/>
    <w:rsid w:val="00A0486B"/>
    <w:rsid w:val="00B83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4D764-1DA5-40A6-A4ED-4E128ADD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071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DEVRIM AYDIN</cp:lastModifiedBy>
  <cp:revision>3</cp:revision>
  <dcterms:created xsi:type="dcterms:W3CDTF">2018-02-19T21:40:00Z</dcterms:created>
  <dcterms:modified xsi:type="dcterms:W3CDTF">2018-02-20T11:47:00Z</dcterms:modified>
</cp:coreProperties>
</file>