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2B" w:rsidRPr="00AF7742" w:rsidRDefault="004C032B" w:rsidP="004C032B">
      <w:pPr>
        <w:pStyle w:val="AralkYok"/>
        <w:jc w:val="both"/>
        <w:rPr>
          <w:b/>
          <w:u w:val="single"/>
        </w:rPr>
      </w:pPr>
      <w:r w:rsidRPr="00AF7742">
        <w:rPr>
          <w:b/>
          <w:highlight w:val="yellow"/>
          <w:u w:val="single"/>
        </w:rPr>
        <w:t>SEKİZİNCİ HAFTA</w:t>
      </w:r>
    </w:p>
    <w:p w:rsidR="004C032B" w:rsidRPr="00AF7742" w:rsidRDefault="004C032B" w:rsidP="004C032B">
      <w:pPr>
        <w:pStyle w:val="AralkYok"/>
        <w:jc w:val="both"/>
        <w:rPr>
          <w:b/>
          <w:u w:val="single"/>
        </w:rPr>
      </w:pPr>
    </w:p>
    <w:p w:rsidR="004C032B" w:rsidRPr="00AF7742" w:rsidRDefault="004C032B" w:rsidP="004C032B">
      <w:pPr>
        <w:pStyle w:val="AralkYok"/>
        <w:jc w:val="both"/>
        <w:rPr>
          <w:b/>
          <w:u w:val="single"/>
        </w:rPr>
      </w:pPr>
      <w:r w:rsidRPr="00AF7742">
        <w:rPr>
          <w:b/>
          <w:highlight w:val="cyan"/>
          <w:u w:val="single"/>
        </w:rPr>
        <w:t>KUSURLULUĞUAZALTAN VEYA KALDIRAN NEDENLER</w:t>
      </w:r>
    </w:p>
    <w:p w:rsidR="004C032B" w:rsidRPr="00AF7742" w:rsidRDefault="004C032B" w:rsidP="004C032B">
      <w:pPr>
        <w:pStyle w:val="AralkYok"/>
        <w:jc w:val="both"/>
        <w:rPr>
          <w:b/>
          <w:u w:val="single"/>
        </w:rPr>
      </w:pPr>
    </w:p>
    <w:p w:rsidR="004C032B" w:rsidRPr="00AF7742" w:rsidRDefault="004C032B" w:rsidP="004C032B">
      <w:pPr>
        <w:pStyle w:val="AralkYok"/>
        <w:jc w:val="both"/>
        <w:rPr>
          <w:b/>
          <w:u w:val="single"/>
        </w:rPr>
      </w:pPr>
      <w:r w:rsidRPr="00AF7742">
        <w:rPr>
          <w:b/>
          <w:highlight w:val="cyan"/>
          <w:u w:val="single"/>
        </w:rPr>
        <w:t>HAKSIZ TAHRİK</w:t>
      </w:r>
    </w:p>
    <w:p w:rsidR="004C032B" w:rsidRPr="00AF7742" w:rsidRDefault="004C032B" w:rsidP="004C032B">
      <w:pPr>
        <w:pStyle w:val="AralkYok"/>
        <w:jc w:val="both"/>
        <w:rPr>
          <w:bCs/>
          <w:color w:val="000000"/>
        </w:rPr>
      </w:pPr>
    </w:p>
    <w:p w:rsidR="004C032B" w:rsidRPr="00AF7742" w:rsidRDefault="004C032B" w:rsidP="004C032B">
      <w:pPr>
        <w:pStyle w:val="AralkYok"/>
        <w:jc w:val="both"/>
        <w:rPr>
          <w:color w:val="000000"/>
        </w:rPr>
      </w:pPr>
      <w:r w:rsidRPr="00AF7742">
        <w:rPr>
          <w:color w:val="000000"/>
        </w:rPr>
        <w:t>HAKSIZ TAHRİK</w:t>
      </w:r>
    </w:p>
    <w:p w:rsidR="004C032B" w:rsidRPr="00AF7742" w:rsidRDefault="004C032B" w:rsidP="004C032B">
      <w:pPr>
        <w:pStyle w:val="AralkYok"/>
        <w:jc w:val="both"/>
        <w:rPr>
          <w:color w:val="000000"/>
        </w:rPr>
      </w:pPr>
      <w:r w:rsidRPr="00AF7742">
        <w:rPr>
          <w:color w:val="000000"/>
        </w:rPr>
        <w:t xml:space="preserve">TCK m. 29 - “Haksız bir fiilin meydana getirdiği hiddet veya şiddetli elemin etkisi altında suç işleyen kimseye, ağırlaştırılmış müebbet hapis cezası yerine onsekiz yıldan yirmidört yıla ve müebbet hapis cezası yerine oniki yıldan onsekiz yıla kadar hapis cezası verilir. </w:t>
      </w:r>
      <w:proofErr w:type="gramStart"/>
      <w:r w:rsidRPr="00AF7742">
        <w:rPr>
          <w:color w:val="000000"/>
        </w:rPr>
        <w:t>diğer</w:t>
      </w:r>
      <w:proofErr w:type="gramEnd"/>
      <w:r w:rsidRPr="00AF7742">
        <w:rPr>
          <w:color w:val="000000"/>
        </w:rPr>
        <w:t xml:space="preserve"> hâllerde verilecek cezanın dörtte birinden dörtte üçüne kadarı indirilir.”</w:t>
      </w:r>
    </w:p>
    <w:p w:rsidR="004C032B" w:rsidRPr="00AF7742" w:rsidRDefault="004C032B" w:rsidP="004C032B">
      <w:pPr>
        <w:pStyle w:val="AralkYok"/>
        <w:jc w:val="both"/>
        <w:rPr>
          <w:color w:val="000000"/>
        </w:rPr>
      </w:pPr>
    </w:p>
    <w:p w:rsidR="004C032B" w:rsidRPr="00AF7742" w:rsidRDefault="004C032B" w:rsidP="004C032B">
      <w:pPr>
        <w:pStyle w:val="AralkYok"/>
        <w:jc w:val="both"/>
        <w:rPr>
          <w:bCs/>
          <w:color w:val="000000"/>
        </w:rPr>
      </w:pPr>
      <w:r w:rsidRPr="00AF7742">
        <w:rPr>
          <w:bCs/>
          <w:color w:val="000000"/>
        </w:rPr>
        <w:t xml:space="preserve">Haksız tahrikin, kusurluluğa etki ederek failin kusurluluğunu azaltma nedeni, faili </w:t>
      </w:r>
      <w:r w:rsidRPr="00AF7742">
        <w:rPr>
          <w:bCs/>
          <w:color w:val="000000"/>
          <w:u w:val="single"/>
        </w:rPr>
        <w:t>hiddet (öfke - kızgınlık) veya şiddetli elem (üzüntü)</w:t>
      </w:r>
      <w:r w:rsidRPr="00AF7742">
        <w:rPr>
          <w:bCs/>
          <w:color w:val="000000"/>
        </w:rPr>
        <w:t xml:space="preserve"> durumuna </w:t>
      </w:r>
      <w:r w:rsidRPr="00AF7742">
        <w:rPr>
          <w:bCs/>
          <w:color w:val="000000"/>
          <w:u w:val="single"/>
        </w:rPr>
        <w:t>mağdurun haksız bir davranışının</w:t>
      </w:r>
      <w:r w:rsidRPr="00AF7742">
        <w:rPr>
          <w:bCs/>
          <w:color w:val="000000"/>
        </w:rPr>
        <w:t xml:space="preserve"> sürüklemiş olmasıdır. </w:t>
      </w:r>
    </w:p>
    <w:p w:rsidR="004C032B" w:rsidRPr="00AF7742" w:rsidRDefault="004C032B" w:rsidP="004C032B">
      <w:pPr>
        <w:pStyle w:val="AralkYok"/>
        <w:jc w:val="both"/>
        <w:rPr>
          <w:bCs/>
          <w:color w:val="000000"/>
        </w:rPr>
      </w:pPr>
      <w:r w:rsidRPr="00AF7742">
        <w:rPr>
          <w:bCs/>
          <w:color w:val="000000"/>
        </w:rPr>
        <w:t>Haksız tahrikin şartları:</w:t>
      </w:r>
    </w:p>
    <w:p w:rsidR="004C032B" w:rsidRPr="00AF7742" w:rsidRDefault="004C032B" w:rsidP="004C032B">
      <w:pPr>
        <w:pStyle w:val="AralkYok"/>
        <w:jc w:val="both"/>
        <w:rPr>
          <w:bCs/>
          <w:color w:val="000000"/>
        </w:rPr>
      </w:pPr>
      <w:r w:rsidRPr="00AF7742">
        <w:rPr>
          <w:bCs/>
          <w:color w:val="000000"/>
        </w:rPr>
        <w:t>1-Tahriki oluşturan bir fiil olmalıdır</w:t>
      </w:r>
      <w:r w:rsidRPr="00AF7742">
        <w:rPr>
          <w:color w:val="000000"/>
        </w:rPr>
        <w:t xml:space="preserve">. Tahrikten söz edilebilmesi için başkasından kaynaklanan ve faili tahrik eden haksız, hukuka aykırı bir hareket gerekmektedir. Tahrik fiilinin mutlaka faile yöneltilmiş olması, failin kendi hak veya menfaatlerinin zedelenmiş olması gerekmez. Tahrik failin şahsına, vücut bütünlüğüne, hürriyetine yönelebileceği gibi failin yakınlarına, sevip saydığı kimselere, değer yargılarına, malvarlığına veya faille herhangi bir bağı olmayan üçüncü kişilere yönelik olarak da işlenebilir. </w:t>
      </w:r>
      <w:r w:rsidRPr="00AF7742">
        <w:rPr>
          <w:bCs/>
          <w:color w:val="000000"/>
        </w:rPr>
        <w:t>K</w:t>
      </w:r>
      <w:r w:rsidRPr="00AF7742">
        <w:rPr>
          <w:color w:val="000000"/>
        </w:rPr>
        <w:t>anunda tahrik fiilinin niteliği konusunda sadece fiilin haksız olması gerektiği belirtilmiştir. Tahrik fiilinin suç olması da gerekmez.</w:t>
      </w:r>
      <w:r w:rsidRPr="00AF7742">
        <w:rPr>
          <w:bCs/>
          <w:color w:val="000000"/>
        </w:rPr>
        <w:t xml:space="preserve"> </w:t>
      </w:r>
    </w:p>
    <w:p w:rsidR="004C032B" w:rsidRPr="00AF7742" w:rsidRDefault="004C032B" w:rsidP="004C032B">
      <w:pPr>
        <w:pStyle w:val="AralkYok"/>
        <w:jc w:val="both"/>
        <w:rPr>
          <w:color w:val="000000"/>
        </w:rPr>
      </w:pPr>
      <w:r w:rsidRPr="00AF7742">
        <w:rPr>
          <w:bCs/>
          <w:color w:val="000000"/>
        </w:rPr>
        <w:t xml:space="preserve">2- Fiil haksız olmalıdır. Bir hakkın kullanılması tahrik sayılmaz. </w:t>
      </w:r>
    </w:p>
    <w:p w:rsidR="004C032B" w:rsidRPr="00AF7742" w:rsidRDefault="004C032B" w:rsidP="004C032B">
      <w:pPr>
        <w:pStyle w:val="AralkYok"/>
        <w:jc w:val="both"/>
        <w:rPr>
          <w:bCs/>
          <w:color w:val="000000"/>
        </w:rPr>
      </w:pPr>
      <w:r w:rsidRPr="00AF7742">
        <w:rPr>
          <w:bCs/>
          <w:color w:val="000000"/>
        </w:rPr>
        <w:t xml:space="preserve">3- Tahrik fiili failde öfke veya şiddetli eleme neden olmalıdır. </w:t>
      </w:r>
    </w:p>
    <w:p w:rsidR="004C032B" w:rsidRPr="00AF7742" w:rsidRDefault="004C032B" w:rsidP="004C032B">
      <w:pPr>
        <w:pStyle w:val="AralkYok"/>
        <w:jc w:val="both"/>
        <w:rPr>
          <w:bCs/>
          <w:color w:val="000000"/>
        </w:rPr>
      </w:pPr>
      <w:r w:rsidRPr="00AF7742">
        <w:rPr>
          <w:bCs/>
          <w:color w:val="000000"/>
        </w:rPr>
        <w:t>4- Tepki suçunun işlenmiş olması gerekir. T</w:t>
      </w:r>
      <w:r w:rsidRPr="00AF7742">
        <w:rPr>
          <w:color w:val="000000"/>
        </w:rPr>
        <w:t>epki suçunun işlenmesi bakımından kanunda herhangi bir zaman sınırlaması yoktur. T</w:t>
      </w:r>
      <w:r w:rsidRPr="00AF7742">
        <w:rPr>
          <w:bCs/>
          <w:color w:val="000000"/>
        </w:rPr>
        <w:t>ahrik fiili ile tepki suçu arasında orantı bulunması gerekmez</w:t>
      </w:r>
    </w:p>
    <w:p w:rsidR="004C032B" w:rsidRPr="00AF7742" w:rsidRDefault="004C032B" w:rsidP="004C032B">
      <w:pPr>
        <w:pStyle w:val="AralkYok"/>
        <w:jc w:val="both"/>
      </w:pPr>
      <w:r w:rsidRPr="00AF7742">
        <w:rPr>
          <w:bCs/>
          <w:color w:val="000000"/>
        </w:rPr>
        <w:t xml:space="preserve">5- Tepki suçunun tahrik nedeniyle işlenmiş olması. Bu koşul, tahrik fiili ile sonuç arasında nedensellik bağı olması demektir. </w:t>
      </w:r>
    </w:p>
    <w:p w:rsidR="004C032B" w:rsidRPr="00AF7742" w:rsidRDefault="004C032B" w:rsidP="004C032B">
      <w:pPr>
        <w:pStyle w:val="AralkYok"/>
        <w:jc w:val="both"/>
        <w:rPr>
          <w:b/>
          <w:u w:val="single"/>
        </w:rPr>
      </w:pPr>
    </w:p>
    <w:p w:rsidR="004C032B" w:rsidRPr="00AF7742" w:rsidRDefault="004C032B" w:rsidP="004C032B">
      <w:pPr>
        <w:pStyle w:val="AralkYok"/>
        <w:jc w:val="both"/>
        <w:rPr>
          <w:b/>
          <w:u w:val="single"/>
        </w:rPr>
      </w:pPr>
    </w:p>
    <w:p w:rsidR="004C032B" w:rsidRPr="00AF7742" w:rsidRDefault="004C032B" w:rsidP="004C032B">
      <w:pPr>
        <w:pStyle w:val="AralkYok"/>
        <w:jc w:val="both"/>
        <w:rPr>
          <w:b/>
          <w:u w:val="single"/>
        </w:rPr>
      </w:pPr>
      <w:r w:rsidRPr="00AF7742">
        <w:rPr>
          <w:b/>
          <w:u w:val="single"/>
        </w:rPr>
        <w:t>İSNAT EDİLEBİLİRLİK (İSNAT YETENEĞİ – CEZA EHLİYETİ) ve İSNAT YETENEĞİNE ETKİ EDEN NEDENLER</w:t>
      </w:r>
    </w:p>
    <w:p w:rsidR="004C032B" w:rsidRDefault="004C032B" w:rsidP="004C032B">
      <w:pPr>
        <w:pStyle w:val="AralkYok"/>
        <w:jc w:val="both"/>
      </w:pPr>
    </w:p>
    <w:p w:rsidR="004C032B" w:rsidRPr="00AF7742" w:rsidRDefault="004C032B" w:rsidP="004C032B">
      <w:pPr>
        <w:pStyle w:val="AralkYok"/>
        <w:jc w:val="both"/>
      </w:pPr>
      <w:r w:rsidRPr="00AF7742">
        <w:t>İsnat yeteneği; anlama ve isteme yeteneğidir. Anlama yeteneği, kişinin yaptığı davranışların sosyal değerini ve ortak hayatın gereklerine aykırı olmasını bilmesidir. İsteme yeteneği ise kişinin davranışlarını serbestçe seçebilme ve kendi yargısına göre isteyebilme yeteneğidir. Failin isnat yeteneğinin varlığı için gerekli olan nitelikleri konusunda TCK’da farklı düzenlemeler söz konusudur. TCK m. 31/1 ve 32/1’de “</w:t>
      </w:r>
      <w:r w:rsidRPr="00AF7742">
        <w:rPr>
          <w:i/>
        </w:rPr>
        <w:t>fiilin hukuki anlam ve sonuçlarını algılayabilme</w:t>
      </w:r>
      <w:r w:rsidRPr="00AF7742">
        <w:t>” ve “</w:t>
      </w:r>
      <w:r w:rsidRPr="00AF7742">
        <w:rPr>
          <w:i/>
        </w:rPr>
        <w:t>davranışlarını yönlendirme yeteneği</w:t>
      </w:r>
      <w:r w:rsidRPr="00AF7742">
        <w:t xml:space="preserve">”, m 31/2 de ise </w:t>
      </w:r>
      <w:r w:rsidRPr="00AF7742">
        <w:rPr>
          <w:i/>
        </w:rPr>
        <w:t>“fiili algılamave davranışlarını yönlendirme yeteneğini</w:t>
      </w:r>
      <w:r w:rsidRPr="00AF7742">
        <w:t xml:space="preserve">”, m. 84/4’te ise </w:t>
      </w:r>
      <w:r w:rsidRPr="00AF7742">
        <w:rPr>
          <w:i/>
        </w:rPr>
        <w:t>“işlediği fiilin anlam ve sonuçlarını algılama yeteneği”</w:t>
      </w:r>
      <w:r w:rsidRPr="00AF7742">
        <w:t xml:space="preserve"> ifadeleri kullanılmıştır. Kısa bir tanıma göre </w:t>
      </w:r>
      <w:r w:rsidRPr="00AF7742">
        <w:rPr>
          <w:u w:val="single"/>
        </w:rPr>
        <w:t>isnat yeteneği, anlama ve isteme yeteneğidir.</w:t>
      </w:r>
      <w:r w:rsidRPr="00AF7742">
        <w:t xml:space="preserve"> </w:t>
      </w:r>
      <w:proofErr w:type="gramStart"/>
      <w:r w:rsidRPr="00AF7742">
        <w:t>buna</w:t>
      </w:r>
      <w:proofErr w:type="gramEnd"/>
      <w:r w:rsidRPr="00AF7742">
        <w:t xml:space="preserve"> göre, isnat yeteneği olan biri işlediği fiilin toplumsal yönden zararlı ve tehlikeli olduğunu anlama ve bu yasaklanan sonucu isteme olgunluğuna sahip kişidir. Türk Ceza Kanunu, isnat yeteneği yerine “kusur yeteneği” terimini kullanmıştır. İsnat yeteneği olmayan kişiler de suç işleyebilirler, ancak bu kişilere ceza verilmez. Türk Ceza Kanunu’nda isnat yeteneğine etki eden nedenler sınırlı bir biçimde düzenlenmiştir.</w:t>
      </w:r>
    </w:p>
    <w:p w:rsidR="004C032B" w:rsidRPr="00AF7742" w:rsidRDefault="004C032B" w:rsidP="004C032B">
      <w:pPr>
        <w:pStyle w:val="AralkYok"/>
        <w:jc w:val="both"/>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Pr="00AF7742" w:rsidRDefault="004C032B" w:rsidP="004C032B">
      <w:pPr>
        <w:pStyle w:val="AralkYok"/>
        <w:jc w:val="both"/>
        <w:rPr>
          <w:b/>
        </w:rPr>
      </w:pPr>
      <w:r w:rsidRPr="00AF7742">
        <w:rPr>
          <w:b/>
        </w:rPr>
        <w:t>1- YAŞ KÜÇÜKLÜĞÜ</w:t>
      </w:r>
    </w:p>
    <w:p w:rsidR="004C032B" w:rsidRPr="00AF7742" w:rsidRDefault="004C032B" w:rsidP="004C032B">
      <w:pPr>
        <w:pStyle w:val="AralkYok"/>
        <w:jc w:val="both"/>
        <w:rPr>
          <w:u w:val="single"/>
        </w:rPr>
      </w:pPr>
      <w:r w:rsidRPr="00AF7742">
        <w:rPr>
          <w:u w:val="single"/>
        </w:rPr>
        <w:t>TCK m. 31.– (1) Fiili işlediği sırada oniki yaşını doldurmamış olan çocukların ceza sorumluluğu yoktur. Bu kişiler hakkında, ceza kovuşturması yapılamaz; ancak, çocuklara özgü güvenlik tedbirleri uygulanabilir.</w:t>
      </w:r>
    </w:p>
    <w:p w:rsidR="004C032B" w:rsidRPr="00AF7742" w:rsidRDefault="004C032B" w:rsidP="004C032B">
      <w:pPr>
        <w:pStyle w:val="AralkYok"/>
        <w:jc w:val="both"/>
      </w:pPr>
    </w:p>
    <w:p w:rsidR="004C032B" w:rsidRPr="00AF7742" w:rsidRDefault="004C032B" w:rsidP="004C032B">
      <w:pPr>
        <w:pStyle w:val="AralkYok"/>
        <w:jc w:val="both"/>
      </w:pPr>
      <w:r w:rsidRPr="00AF7742">
        <w:rPr>
          <w:u w:val="single"/>
        </w:rPr>
        <w:t>(2</w:t>
      </w:r>
      <w:r w:rsidRPr="00AF7742">
        <w:t xml:space="preserve">) </w:t>
      </w:r>
      <w:r w:rsidRPr="00AF7742">
        <w:rPr>
          <w:u w:val="single"/>
        </w:rPr>
        <w:t>Fiili işlediği sırada oniki yaşını doldurmuş olup da onbeş yaşını doldurmamış olanlar</w:t>
      </w:r>
      <w:r w:rsidRPr="00AF7742">
        <w:t xml:space="preserve">ın işlediği fiilin hukukî anlam ve sonuçlarını algılayamaması veya davranışlarını yönlendirme yeteneğinin yeterince gelişmemiş olması hâlinde ceza sorumluluğu yoktur. Ancak bu kişiler hakkında çocuklara özgü güvenlik tedbirlerine hükmolunur. İşlediği fiilin hukukî anlam ve sonuçlarını algılama ve bu fiille ilgili olarak davranışlarını yönlendirme yeteneğinin varlığı hâlinde, bu kişiler hakkında suç, ağırlaştırılmış müebbet hapis cezasını gerektirdiği takdirde oniki yıldan onbeş yıla; müebbet hapis cezasını gerektirdiği takdirde dokuz yıldan onbir yıla kadar hapis cezasına hükmolunur. Diğer cezaların yarısı indirilir ve bu hâlde her fiil için verilecek hapis cezası yedi yıldan fazla olamaz. </w:t>
      </w:r>
    </w:p>
    <w:p w:rsidR="004C032B" w:rsidRPr="00AF7742" w:rsidRDefault="004C032B" w:rsidP="004C032B">
      <w:pPr>
        <w:pStyle w:val="AralkYok"/>
        <w:jc w:val="both"/>
      </w:pPr>
    </w:p>
    <w:p w:rsidR="004C032B" w:rsidRPr="00AF7742" w:rsidRDefault="004C032B" w:rsidP="004C032B">
      <w:pPr>
        <w:pStyle w:val="AralkYok"/>
        <w:jc w:val="both"/>
        <w:rPr>
          <w:u w:val="single"/>
        </w:rPr>
      </w:pPr>
      <w:r w:rsidRPr="00AF7742">
        <w:t xml:space="preserve">(3) </w:t>
      </w:r>
      <w:r w:rsidRPr="00AF7742">
        <w:rPr>
          <w:u w:val="single"/>
        </w:rPr>
        <w:t>Fiili işlediği sırada onbeş yaşını doldurmuş olup da onsekiz yaşını</w:t>
      </w:r>
    </w:p>
    <w:p w:rsidR="004C032B" w:rsidRPr="00AF7742" w:rsidRDefault="004C032B" w:rsidP="004C032B">
      <w:pPr>
        <w:pStyle w:val="AralkYok"/>
        <w:jc w:val="both"/>
      </w:pPr>
      <w:proofErr w:type="gramStart"/>
      <w:r w:rsidRPr="00AF7742">
        <w:rPr>
          <w:u w:val="single"/>
        </w:rPr>
        <w:t>doldurmamış</w:t>
      </w:r>
      <w:proofErr w:type="gramEnd"/>
      <w:r w:rsidRPr="00AF7742">
        <w:rPr>
          <w:u w:val="single"/>
        </w:rPr>
        <w:t xml:space="preserve"> olan kişiler hakkında</w:t>
      </w:r>
      <w:r w:rsidRPr="00AF7742">
        <w:t xml:space="preserve"> suç, ağırlaştırılmış müebbet hapis cezasını gerektirdiği takdirde onsekiz yıldan yirmidört yıla; müebbet hapis cezasını gerektirdiği takdirde oniki yıldan onbeş yıla kadar hapis cezasına hükmolunur. Diğer cezaların üçte biri indirilir ve bu hâlde her fiil için verilecek hapis cezası oniki yıldan fazla olamaz.</w:t>
      </w:r>
    </w:p>
    <w:p w:rsidR="004C032B" w:rsidRPr="00AF7742" w:rsidRDefault="004C032B" w:rsidP="004C032B">
      <w:pPr>
        <w:pStyle w:val="AralkYok"/>
        <w:jc w:val="both"/>
      </w:pPr>
    </w:p>
    <w:p w:rsidR="004C032B" w:rsidRPr="00AF7742" w:rsidRDefault="004C032B" w:rsidP="004C032B">
      <w:pPr>
        <w:pStyle w:val="AralkYok"/>
        <w:jc w:val="both"/>
        <w:rPr>
          <w:b/>
          <w:u w:val="single"/>
        </w:rPr>
      </w:pPr>
      <w:r w:rsidRPr="00AF7742">
        <w:rPr>
          <w:b/>
          <w:u w:val="single"/>
        </w:rPr>
        <w:t>2- SAĞIR VE DİLSİZLİK</w:t>
      </w:r>
    </w:p>
    <w:p w:rsidR="004C032B" w:rsidRPr="00AF7742" w:rsidRDefault="004C032B" w:rsidP="004C032B">
      <w:pPr>
        <w:pStyle w:val="AralkYok"/>
        <w:jc w:val="both"/>
      </w:pPr>
      <w:proofErr w:type="gramStart"/>
      <w:r w:rsidRPr="00AF7742">
        <w:t>TCK m. 33.– (1) Bu Kanunun, fiili işlediği sırada oniki yaşını doldurmamış olan çocuklara ilişkin hükümleri, onbeş yaşını doldurmamış olan sağır ve dilsizler hakkında; oniki yaşını doldurmuş olup da onbeş yaşını doldurmamış olanlara ilişkin hükümleri, onbeş yaşını doldurmuş olup da onsekiz yaşını doldurmamış olan sağır ve dilsizler hakkında; onbeş yaşını doldurmuş olup da onsekiz yaşını doldurmamış olanlara ilişkin hükümleri, onsekiz yaşını doldurmuş olup da yirmibir yaşını doldurmamış olan sağır ve dilsizler hakkında da uygulanır.</w:t>
      </w:r>
      <w:proofErr w:type="gramEnd"/>
    </w:p>
    <w:p w:rsidR="004C032B" w:rsidRPr="00AF7742" w:rsidRDefault="004C032B" w:rsidP="004C032B">
      <w:pPr>
        <w:pStyle w:val="AralkYok"/>
        <w:jc w:val="both"/>
        <w:rPr>
          <w:u w:val="single"/>
        </w:rPr>
      </w:pPr>
    </w:p>
    <w:p w:rsidR="004C032B" w:rsidRPr="00AF7742" w:rsidRDefault="004C032B" w:rsidP="004C032B">
      <w:pPr>
        <w:pStyle w:val="AralkYok"/>
        <w:jc w:val="both"/>
      </w:pPr>
      <w:r w:rsidRPr="00AF7742">
        <w:t>Yukarıda yaş küçüklüğü için açıklananlar burada da geçerlidir. Ancak sağır ve dilsizlerin ceza ehliyet yaşı 15 yaşının doldurulması ile başlar. Bu grubun tam ceza ehliyet yaşı (ceza sorumluluğu) 21 yaşının doldurulması ile başlar.</w:t>
      </w:r>
    </w:p>
    <w:p w:rsidR="004C032B" w:rsidRPr="00AF7742" w:rsidRDefault="004C032B" w:rsidP="004C032B">
      <w:pPr>
        <w:pStyle w:val="AralkYok"/>
        <w:jc w:val="both"/>
        <w:rPr>
          <w:u w:val="single"/>
        </w:rPr>
      </w:pPr>
    </w:p>
    <w:p w:rsidR="004C032B" w:rsidRPr="00AF7742" w:rsidRDefault="004C032B" w:rsidP="004C032B">
      <w:pPr>
        <w:pStyle w:val="AralkYok"/>
        <w:jc w:val="both"/>
        <w:rPr>
          <w:b/>
          <w:u w:val="single"/>
        </w:rPr>
      </w:pPr>
      <w:r w:rsidRPr="00AF7742">
        <w:rPr>
          <w:b/>
          <w:u w:val="single"/>
        </w:rPr>
        <w:t>3- AKIL HASTALIĞI</w:t>
      </w:r>
    </w:p>
    <w:p w:rsidR="004C032B" w:rsidRPr="00AF7742" w:rsidRDefault="004C032B" w:rsidP="004C032B">
      <w:pPr>
        <w:pStyle w:val="AralkYok"/>
        <w:jc w:val="both"/>
      </w:pPr>
      <w:r w:rsidRPr="00AF7742">
        <w:t>TCK m. 32.– (1) Akıl hastalığı nedeniyle, işlediği fiilin hukukî anlam ve sonuçlarını algılayamayan veya bu fiille ilgili olarak davranışlarını yönlendirme yeteneği önemli derecede azalmış olan kişiye ceza verilmez. Ancak, bu kişiler hakkında güvenlik tedbirine hükmolunur.</w:t>
      </w:r>
    </w:p>
    <w:p w:rsidR="004C032B" w:rsidRPr="00AF7742" w:rsidRDefault="004C032B" w:rsidP="004C032B">
      <w:pPr>
        <w:pStyle w:val="AralkYok"/>
        <w:jc w:val="both"/>
      </w:pPr>
    </w:p>
    <w:p w:rsidR="004C032B" w:rsidRPr="00AF7742" w:rsidRDefault="004C032B" w:rsidP="004C032B">
      <w:pPr>
        <w:pStyle w:val="AralkYok"/>
        <w:jc w:val="both"/>
      </w:pPr>
      <w:r w:rsidRPr="00AF7742">
        <w:t>(2) Birinci fıkrada yazılı derecede olmamakla birlikte işlediği fiille ilgili olarak davranışlarını yönlendirme yeteneği azalmış olan kişiye, ağırlaştırılmış müebbet hapis cezası yerine yirmibeş yıl, müebbet hapis cezası yerine yirmi yıl hapis cezası verilir. Diğer hâllerde verilecek ceza, altıda birden fazla olmamak üzere indirilebilir. Mahkûm olunan ceza, süresi aynı olmak koşuluyla, kısmen veya tamamen, akıl hastalarına özgü güvenlik tedbiri olarak da uygulanabilir.</w:t>
      </w:r>
    </w:p>
    <w:p w:rsidR="004C032B" w:rsidRPr="00AF7742" w:rsidRDefault="004C032B" w:rsidP="004C032B">
      <w:pPr>
        <w:pStyle w:val="AralkYok"/>
        <w:jc w:val="both"/>
      </w:pPr>
    </w:p>
    <w:p w:rsidR="004C032B" w:rsidRPr="00AF7742" w:rsidRDefault="004C032B" w:rsidP="004C032B">
      <w:pPr>
        <w:pStyle w:val="AralkYok"/>
        <w:jc w:val="both"/>
      </w:pPr>
      <w:r w:rsidRPr="00AF7742">
        <w:lastRenderedPageBreak/>
        <w:t>Birinci fıkradaki hallerde ceza verilmez ancak haklarında akıl hastalarına özgü güvenlik tedbiri uygulanır. İkinci fıkradaki hallerde ise indirimli ceza uygulanır ve bu kişiler hakkında akıl hastalarına özgü güvenlik tedbiri uygulanabilir.</w:t>
      </w:r>
    </w:p>
    <w:p w:rsidR="004C032B" w:rsidRPr="00AF7742" w:rsidRDefault="004C032B" w:rsidP="004C032B">
      <w:pPr>
        <w:pStyle w:val="AralkYok"/>
        <w:jc w:val="both"/>
      </w:pPr>
    </w:p>
    <w:p w:rsidR="004C032B" w:rsidRPr="00AF7742" w:rsidRDefault="004C032B" w:rsidP="004C032B">
      <w:pPr>
        <w:pStyle w:val="AralkYok"/>
        <w:jc w:val="both"/>
        <w:rPr>
          <w:b/>
          <w:u w:val="single"/>
        </w:rPr>
      </w:pPr>
      <w:r w:rsidRPr="00AF7742">
        <w:rPr>
          <w:b/>
          <w:u w:val="single"/>
        </w:rPr>
        <w:t>4- GEÇİCİ NEDENLER, ALKOL VEYA UYUŞTURUCU MADDE ETKİSİNDE OLMA</w:t>
      </w:r>
    </w:p>
    <w:p w:rsidR="004C032B" w:rsidRPr="00AF7742" w:rsidRDefault="004C032B" w:rsidP="004C032B">
      <w:pPr>
        <w:pStyle w:val="AralkYok"/>
        <w:jc w:val="both"/>
      </w:pPr>
    </w:p>
    <w:p w:rsidR="004C032B" w:rsidRPr="00AF7742" w:rsidRDefault="004C032B" w:rsidP="004C032B">
      <w:pPr>
        <w:pStyle w:val="AralkYok"/>
        <w:jc w:val="both"/>
      </w:pPr>
      <w:r w:rsidRPr="00AF7742">
        <w:t>TCK m. 34– (1) Geçici bir nedenle ya da irade dışı alınan alkol veya uyuşturucu madde etkisiyle, işlediği fiilin hukukî anlam ve sonuçlarını algılayamayan veya bu fiille ilgili olarak davranışlarını yönlendirme yeteneği önemli derecede azalmış olan kişiye ceza verilmez.</w:t>
      </w:r>
    </w:p>
    <w:p w:rsidR="004C032B" w:rsidRPr="00AF7742" w:rsidRDefault="004C032B" w:rsidP="004C032B">
      <w:pPr>
        <w:pStyle w:val="AralkYok"/>
        <w:jc w:val="both"/>
      </w:pPr>
      <w:r w:rsidRPr="00AF7742">
        <w:t>(2) İradî olarak alınan alkol veya uyuşturucu madde etkisinde suç işleyen kişi hakkında birinci fıkra hükmü uygulanmaz.</w:t>
      </w:r>
    </w:p>
    <w:p w:rsidR="004C032B" w:rsidRPr="00AF7742" w:rsidRDefault="004C032B" w:rsidP="004C032B">
      <w:pPr>
        <w:pStyle w:val="AralkYok"/>
        <w:jc w:val="both"/>
      </w:pPr>
    </w:p>
    <w:p w:rsidR="004C032B" w:rsidRPr="00AF7742" w:rsidRDefault="004C032B" w:rsidP="004C032B">
      <w:pPr>
        <w:pStyle w:val="AralkYok"/>
        <w:jc w:val="both"/>
      </w:pPr>
      <w:r w:rsidRPr="00AF7742">
        <w:t xml:space="preserve">Geçici bir nedenle ya da irade dışı alınan alkol veya uyuşturucu madde etkisiyle suç işleyen faile ceza verilmemektedir. Örneğin hipnotize edilerek ya da suyuna uyuşturucu katılarak suç işlenmesi sağlanan kişiye ceza verilmez. Bu durumlarda kişinin isnat yeteneğini bozarak onun davranışlarını yönlendiren kişi (dolaylı/dolayısıyla fail) işlenen suçtan sorumludur. Ancak iradî olarak alınan alkol veya uyuşturucu maddenin etkisiyle suç işleyen kişiye tam ceza verilir. Çünkü bu durumda kişi, kendi isteği (iradesi) ile kendi iradesini bozmuştur. Örneğin maç izlerken içtiği içkinin etkisiyle sarhoş olup havaya ateş eden ya da sarhoşken kaza yaparak birinin yaralanmasına neden olan fail kusurluluğunun türüne göre kasten veya taksirle suç işlemekten sorumludur. </w:t>
      </w:r>
    </w:p>
    <w:p w:rsidR="004C032B" w:rsidRPr="00AF7742" w:rsidRDefault="004C032B" w:rsidP="004C032B">
      <w:pPr>
        <w:pStyle w:val="AralkYok"/>
        <w:jc w:val="both"/>
      </w:pPr>
    </w:p>
    <w:p w:rsidR="004C032B" w:rsidRPr="00AF7742" w:rsidRDefault="004C032B" w:rsidP="004C032B">
      <w:pPr>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4C032B" w:rsidRDefault="004C032B" w:rsidP="004C032B">
      <w:pPr>
        <w:pStyle w:val="AralkYok"/>
        <w:jc w:val="both"/>
        <w:rPr>
          <w:b/>
        </w:rPr>
      </w:pPr>
    </w:p>
    <w:p w:rsidR="00000000" w:rsidRDefault="004C032B"/>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useFELayout/>
  </w:compat>
  <w:rsids>
    <w:rsidRoot w:val="004C032B"/>
    <w:rsid w:val="004C03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C032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2018-02-19T21:43:00Z</dcterms:created>
  <dcterms:modified xsi:type="dcterms:W3CDTF">2018-02-19T21:43:00Z</dcterms:modified>
</cp:coreProperties>
</file>