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77A" w:rsidRPr="00AF7742" w:rsidRDefault="0044477A" w:rsidP="0044477A">
      <w:pPr>
        <w:pStyle w:val="AralkYok"/>
        <w:jc w:val="both"/>
        <w:rPr>
          <w:b/>
        </w:rPr>
      </w:pPr>
      <w:r w:rsidRPr="00AF7742">
        <w:rPr>
          <w:b/>
          <w:highlight w:val="yellow"/>
        </w:rPr>
        <w:t>ONBİRİNCİ HAFTA</w:t>
      </w:r>
    </w:p>
    <w:p w:rsidR="0044477A" w:rsidRPr="00AF7742" w:rsidRDefault="0044477A" w:rsidP="0044477A">
      <w:pPr>
        <w:pStyle w:val="AralkYok"/>
        <w:jc w:val="both"/>
        <w:rPr>
          <w:b/>
          <w:bCs/>
          <w:color w:val="000000" w:themeColor="text1"/>
        </w:rPr>
      </w:pPr>
      <w:r w:rsidRPr="00AF7742">
        <w:rPr>
          <w:b/>
          <w:bCs/>
          <w:color w:val="000000" w:themeColor="text1"/>
          <w:highlight w:val="cyan"/>
        </w:rPr>
        <w:t>CEZALAR- CEZAYA MAHKÛMİYETİN SONUCU</w:t>
      </w:r>
    </w:p>
    <w:p w:rsidR="0044477A" w:rsidRPr="00AF7742" w:rsidRDefault="0044477A" w:rsidP="0044477A">
      <w:pPr>
        <w:pStyle w:val="AralkYok"/>
        <w:jc w:val="both"/>
        <w:rPr>
          <w:bCs/>
        </w:rPr>
      </w:pPr>
    </w:p>
    <w:p w:rsidR="0044477A" w:rsidRPr="00AF7742" w:rsidRDefault="0044477A" w:rsidP="0044477A">
      <w:pPr>
        <w:pStyle w:val="AralkYok"/>
        <w:jc w:val="both"/>
        <w:rPr>
          <w:bCs/>
        </w:rPr>
      </w:pPr>
    </w:p>
    <w:p w:rsidR="0044477A" w:rsidRPr="00AF7742" w:rsidRDefault="0044477A" w:rsidP="0044477A">
      <w:pPr>
        <w:pStyle w:val="AralkYok"/>
        <w:jc w:val="center"/>
        <w:rPr>
          <w:b/>
        </w:rPr>
      </w:pPr>
      <w:r w:rsidRPr="00AF7742">
        <w:rPr>
          <w:b/>
        </w:rPr>
        <w:t>Türk Ceza Kanunu’nda Yaptırımlar</w:t>
      </w:r>
    </w:p>
    <w:p w:rsidR="0044477A" w:rsidRPr="00AF7742" w:rsidRDefault="0044477A" w:rsidP="0044477A">
      <w:pPr>
        <w:pStyle w:val="AralkYok"/>
        <w:jc w:val="center"/>
        <w:rPr>
          <w:b/>
        </w:rPr>
      </w:pPr>
      <w:r w:rsidRPr="00BF2A5F">
        <w:pict>
          <v:shapetype id="_x0000_t32" coordsize="21600,21600" o:spt="32" o:oned="t" path="m,l21600,21600e" filled="f">
            <v:path arrowok="t" fillok="f" o:connecttype="none"/>
            <o:lock v:ext="edit" shapetype="t"/>
          </v:shapetype>
          <v:shape id="_x0000_s1026" type="#_x0000_t32" style="position:absolute;left:0;text-align:left;margin-left:286.85pt;margin-top:4.95pt;width:47.8pt;height:27pt;z-index:251660288" o:connectortype="straight">
            <v:stroke endarrow="block"/>
          </v:shape>
        </w:pict>
      </w:r>
      <w:r w:rsidRPr="00BF2A5F">
        <w:pict>
          <v:shape id="_x0000_s1027" type="#_x0000_t32" style="position:absolute;left:0;text-align:left;margin-left:171.65pt;margin-top:4.95pt;width:49.2pt;height:27pt;flip:x;z-index:251661312" o:connectortype="straight">
            <v:stroke endarrow="block"/>
          </v:shape>
        </w:pict>
      </w:r>
    </w:p>
    <w:p w:rsidR="0044477A" w:rsidRPr="00AF7742" w:rsidRDefault="0044477A" w:rsidP="0044477A">
      <w:pPr>
        <w:pStyle w:val="AralkYok"/>
        <w:ind w:left="2124" w:firstLine="708"/>
        <w:jc w:val="center"/>
        <w:rPr>
          <w:b/>
        </w:rPr>
      </w:pPr>
    </w:p>
    <w:p w:rsidR="0044477A" w:rsidRPr="00AF7742" w:rsidRDefault="0044477A" w:rsidP="0044477A">
      <w:pPr>
        <w:pStyle w:val="AralkYok"/>
        <w:ind w:left="2124" w:firstLine="708"/>
        <w:jc w:val="center"/>
        <w:rPr>
          <w:b/>
        </w:rPr>
      </w:pPr>
    </w:p>
    <w:p w:rsidR="0044477A" w:rsidRPr="00AF7742" w:rsidRDefault="0044477A" w:rsidP="0044477A">
      <w:pPr>
        <w:pStyle w:val="AralkYok"/>
        <w:ind w:left="2124" w:firstLine="708"/>
        <w:rPr>
          <w:b/>
        </w:rPr>
      </w:pPr>
      <w:r>
        <w:rPr>
          <w:b/>
        </w:rPr>
        <w:t xml:space="preserve">    </w:t>
      </w:r>
      <w:r w:rsidRPr="00AF7742">
        <w:rPr>
          <w:b/>
        </w:rPr>
        <w:t>Cezalar</w:t>
      </w:r>
      <w:r w:rsidRPr="00AF7742">
        <w:rPr>
          <w:b/>
        </w:rPr>
        <w:tab/>
      </w:r>
      <w:r w:rsidRPr="00AF7742">
        <w:rPr>
          <w:b/>
        </w:rPr>
        <w:tab/>
      </w:r>
      <w:r w:rsidRPr="00AF7742">
        <w:rPr>
          <w:b/>
        </w:rPr>
        <w:tab/>
      </w:r>
      <w:r w:rsidRPr="00AF7742">
        <w:rPr>
          <w:b/>
        </w:rPr>
        <w:tab/>
        <w:t>Güvenlik Tedbirleri</w:t>
      </w:r>
    </w:p>
    <w:p w:rsidR="0044477A" w:rsidRPr="00AF7742" w:rsidRDefault="0044477A" w:rsidP="0044477A">
      <w:pPr>
        <w:pStyle w:val="AralkYok"/>
        <w:ind w:left="4956" w:firstLine="708"/>
        <w:jc w:val="center"/>
        <w:rPr>
          <w:b/>
        </w:rPr>
      </w:pPr>
    </w:p>
    <w:p w:rsidR="0044477A" w:rsidRPr="00AF7742" w:rsidRDefault="0044477A" w:rsidP="0044477A">
      <w:pPr>
        <w:pStyle w:val="AralkYok"/>
        <w:jc w:val="center"/>
        <w:rPr>
          <w:b/>
        </w:rPr>
      </w:pPr>
      <w:bookmarkStart w:id="0" w:name="45"/>
      <w:bookmarkEnd w:id="0"/>
      <w:r w:rsidRPr="00BF2A5F">
        <w:pict>
          <v:shape id="_x0000_s1028" type="#_x0000_t32" style="position:absolute;left:0;text-align:left;margin-left:157.85pt;margin-top:4.55pt;width:44.8pt;height:40pt;z-index:251662336" o:connectortype="straight">
            <v:stroke endarrow="block"/>
          </v:shape>
        </w:pict>
      </w:r>
      <w:r w:rsidRPr="00BF2A5F">
        <w:pict>
          <v:shape id="_x0000_s1029" type="#_x0000_t32" style="position:absolute;left:0;text-align:left;margin-left:91.45pt;margin-top:4.55pt;width:52.6pt;height:34.6pt;flip:x;z-index:251663360" o:connectortype="straight">
            <v:stroke endarrow="block"/>
          </v:shape>
        </w:pict>
      </w:r>
    </w:p>
    <w:p w:rsidR="0044477A" w:rsidRPr="00AF7742" w:rsidRDefault="0044477A" w:rsidP="0044477A">
      <w:pPr>
        <w:spacing w:before="100" w:beforeAutospacing="1" w:after="100" w:afterAutospacing="1"/>
        <w:ind w:left="1416" w:hanging="1416"/>
        <w:jc w:val="center"/>
        <w:rPr>
          <w:b/>
        </w:rPr>
      </w:pPr>
    </w:p>
    <w:p w:rsidR="0044477A" w:rsidRPr="00AF7742" w:rsidRDefault="0044477A" w:rsidP="0044477A">
      <w:pPr>
        <w:spacing w:before="100" w:beforeAutospacing="1" w:after="100" w:afterAutospacing="1"/>
        <w:ind w:left="1416" w:hanging="1416"/>
        <w:jc w:val="both"/>
      </w:pPr>
      <w:r w:rsidRPr="00AF7742">
        <w:rPr>
          <w:b/>
        </w:rPr>
        <w:t xml:space="preserve">        Hapis Cezaları</w:t>
      </w:r>
      <w:r w:rsidRPr="00AF7742">
        <w:rPr>
          <w:b/>
        </w:rPr>
        <w:tab/>
        <w:t xml:space="preserve">            </w:t>
      </w:r>
      <w:r>
        <w:rPr>
          <w:b/>
        </w:rPr>
        <w:t xml:space="preserve">            </w:t>
      </w:r>
      <w:r w:rsidRPr="00AF7742">
        <w:rPr>
          <w:b/>
        </w:rPr>
        <w:t>Adli Para Cezası</w:t>
      </w:r>
      <w:r w:rsidRPr="00AF7742">
        <w:rPr>
          <w:b/>
        </w:rPr>
        <w:tab/>
      </w:r>
      <w:bookmarkStart w:id="1" w:name="46"/>
      <w:bookmarkEnd w:id="1"/>
    </w:p>
    <w:p w:rsidR="0044477A" w:rsidRPr="00AF7742" w:rsidRDefault="0044477A" w:rsidP="0044477A">
      <w:pPr>
        <w:widowControl w:val="0"/>
        <w:suppressLineNumbers/>
        <w:tabs>
          <w:tab w:val="left" w:pos="540"/>
        </w:tabs>
        <w:spacing w:line="240" w:lineRule="exact"/>
        <w:jc w:val="both"/>
        <w:rPr>
          <w:rFonts w:eastAsia="Arial Unicode MS"/>
        </w:rPr>
      </w:pPr>
      <w:r w:rsidRPr="00AF7742">
        <w:rPr>
          <w:rFonts w:eastAsia="Arial Unicode MS"/>
          <w:b/>
          <w:bCs/>
        </w:rPr>
        <w:t xml:space="preserve">Ceza hukukunda suç karşılığında uygulanan yaptırımlar </w:t>
      </w:r>
      <w:r w:rsidRPr="00AF7742">
        <w:rPr>
          <w:rFonts w:eastAsia="Arial Unicode MS"/>
        </w:rPr>
        <w:t xml:space="preserve">cezalar ve güvenlik tedbirleri olmak üzere iki çeşittir. Cezalar ise hapis ve adlî para cezalarıdır (TCK m. 45). </w:t>
      </w:r>
    </w:p>
    <w:p w:rsidR="0044477A" w:rsidRPr="00AF7742" w:rsidRDefault="0044477A" w:rsidP="0044477A">
      <w:pPr>
        <w:widowControl w:val="0"/>
        <w:suppressLineNumbers/>
        <w:tabs>
          <w:tab w:val="left" w:pos="540"/>
        </w:tabs>
        <w:spacing w:line="240" w:lineRule="exact"/>
        <w:jc w:val="both"/>
        <w:rPr>
          <w:rFonts w:eastAsia="Arial Unicode MS"/>
        </w:rPr>
      </w:pPr>
    </w:p>
    <w:p w:rsidR="0044477A" w:rsidRPr="00AF7742" w:rsidRDefault="0044477A" w:rsidP="0044477A">
      <w:pPr>
        <w:pStyle w:val="AralkYok"/>
        <w:jc w:val="both"/>
        <w:rPr>
          <w:lang w:eastAsia="en-US"/>
        </w:rPr>
      </w:pPr>
      <w:r w:rsidRPr="00AF7742">
        <w:t xml:space="preserve">Hapis cezaları ağırlaştırılmış müebbet hapis cezası, müebbet hapis cezası ve süreli hapis cezası olmak üzere üç türlüdür (TCK m.46). </w:t>
      </w:r>
    </w:p>
    <w:p w:rsidR="0044477A" w:rsidRPr="00AF7742" w:rsidRDefault="0044477A" w:rsidP="0044477A">
      <w:pPr>
        <w:pStyle w:val="AralkYok"/>
        <w:jc w:val="both"/>
      </w:pPr>
      <w:r w:rsidRPr="00AF7742">
        <w:t>Ağırlaştırılmış müebbet hapis cezası, hükümlünün hayatı boyunca devam eder, Kanun ve tüzükte belirtilen sıkı güvenlik rejimine göre çektirilir.</w:t>
      </w:r>
    </w:p>
    <w:p w:rsidR="0044477A" w:rsidRPr="00AF7742" w:rsidRDefault="0044477A" w:rsidP="0044477A">
      <w:pPr>
        <w:pStyle w:val="AralkYok"/>
        <w:jc w:val="both"/>
      </w:pPr>
      <w:r w:rsidRPr="00AF7742">
        <w:t>Müebbet hapis cezası, hükümlünün hayatı boyunca devam eder.</w:t>
      </w:r>
    </w:p>
    <w:p w:rsidR="0044477A" w:rsidRPr="00AF7742" w:rsidRDefault="0044477A" w:rsidP="0044477A">
      <w:pPr>
        <w:pStyle w:val="AralkYok"/>
        <w:jc w:val="both"/>
      </w:pPr>
      <w:r w:rsidRPr="00AF7742">
        <w:t xml:space="preserve">Süreli hapis cezası, </w:t>
      </w:r>
      <w:bookmarkStart w:id="2" w:name="47"/>
      <w:bookmarkStart w:id="3" w:name="49"/>
      <w:bookmarkEnd w:id="2"/>
      <w:bookmarkEnd w:id="3"/>
      <w:r w:rsidRPr="00AF7742">
        <w:t>Kanunda aksi belirtilmeyen hallerde bir aydan az, yirmi yıldan fazla olamaz.</w:t>
      </w:r>
    </w:p>
    <w:p w:rsidR="0044477A" w:rsidRPr="00AF7742" w:rsidRDefault="0044477A" w:rsidP="0044477A">
      <w:pPr>
        <w:pStyle w:val="AralkYok"/>
        <w:jc w:val="both"/>
      </w:pPr>
      <w:r w:rsidRPr="00AF7742">
        <w:t>NOT: Hükmedilen bir yıl veya daha az süreli hapis cezası, kısa süreli hapis cezasıdır. Kısa süreli hapis seçenek yaptırımlara çevrilebilir (TCK m. 50).</w:t>
      </w:r>
    </w:p>
    <w:p w:rsidR="0044477A" w:rsidRPr="00AF7742" w:rsidRDefault="0044477A" w:rsidP="0044477A">
      <w:pPr>
        <w:pStyle w:val="AralkYok"/>
        <w:jc w:val="both"/>
        <w:rPr>
          <w:b/>
          <w:u w:val="single"/>
        </w:rPr>
      </w:pPr>
      <w:bookmarkStart w:id="4" w:name="50"/>
      <w:bookmarkEnd w:id="4"/>
    </w:p>
    <w:p w:rsidR="0044477A" w:rsidRPr="00AF7742" w:rsidRDefault="0044477A" w:rsidP="0044477A">
      <w:pPr>
        <w:pStyle w:val="AralkYok"/>
        <w:jc w:val="both"/>
      </w:pPr>
      <w:r w:rsidRPr="00AF7742">
        <w:rPr>
          <w:b/>
          <w:u w:val="single"/>
        </w:rPr>
        <w:t>Kısa süreli hapis cezası,</w:t>
      </w:r>
      <w:r w:rsidRPr="00AF7742">
        <w:t xml:space="preserve"> suçlunun kişiliğine, sosyal ve ekonomik durumuna, yargılama sürecinde duyduğu pişmanlığa ve suçun işlenmesindeki özelliklere göre; a) Adlî para cezasına,b) Mağdurun veya kamunun uğradığı zararın aynen iade, suçtan önceki hale getirme veya tazmin suretiyle, tamamen giderilmesine, c) En az iki yıl süreyle, bir meslek veya sanat edinmeyi sağlamak amacıyla, gerektiğinde barınma imkanı da bulunan bir eğitim kurumuna devam etmeye,d) Mahkûm olunan cezanın yarısından bir katına kadar süreyle, belirli yerlere gitmekten veya belirli etkinlikleri yapmaktan yasaklanmaya, e) Sağladığı hak ve yetkiler kötüye kullanılmak suretiyle veya gerektirdiği dikkat ve özen yükümlülüğüne aykırı davranılarak suç işlenmiş olması durumunda; mahkûm olunan cezanın yarısından bir katına kadar süreyle, ilgili ehliyet ve ruhsat belgelerinin geri alınmasına, belli bir meslek ve sanatı yapmaktan yasaklanmaya, f) Mahkûm olunan cezanın yarısından bir katına kadar süreyle ve gönüllü olmak koşuluyla kamuya yararlı bir işte çalıştırılmaya, </w:t>
      </w:r>
      <w:r w:rsidRPr="00AF7742">
        <w:rPr>
          <w:b/>
          <w:u w:val="single"/>
        </w:rPr>
        <w:t>çevrilebilir.</w:t>
      </w:r>
    </w:p>
    <w:p w:rsidR="0044477A" w:rsidRPr="00AF7742" w:rsidRDefault="0044477A" w:rsidP="0044477A">
      <w:pPr>
        <w:pStyle w:val="AralkYok"/>
        <w:jc w:val="both"/>
      </w:pPr>
    </w:p>
    <w:p w:rsidR="0044477A" w:rsidRPr="00AF7742" w:rsidRDefault="0044477A" w:rsidP="0044477A">
      <w:pPr>
        <w:pStyle w:val="AralkYok"/>
        <w:jc w:val="both"/>
      </w:pPr>
    </w:p>
    <w:p w:rsidR="0044477A" w:rsidRPr="00AF7742" w:rsidRDefault="0044477A" w:rsidP="0044477A">
      <w:pPr>
        <w:pStyle w:val="AralkYok"/>
        <w:jc w:val="both"/>
      </w:pPr>
      <w:r w:rsidRPr="00AF7742">
        <w:rPr>
          <w:b/>
          <w:highlight w:val="cyan"/>
        </w:rPr>
        <w:t>HAPİS CEZASININ ERTELENMESİ</w:t>
      </w:r>
    </w:p>
    <w:p w:rsidR="0044477A" w:rsidRPr="00AF7742" w:rsidRDefault="0044477A" w:rsidP="0044477A">
      <w:pPr>
        <w:pStyle w:val="AralkYok"/>
        <w:jc w:val="both"/>
      </w:pPr>
      <w:r w:rsidRPr="00AF7742">
        <w:t xml:space="preserve">Türk Ceza Kanunu, bazı şartların gerçekleşmesi halinde, hükümlünün mahkûm olduğu hapis cezasının ertelenebileceğini kabul etmiştir. Bunun şartları TCK m 51’de düzenlenmiştir.  </w:t>
      </w:r>
    </w:p>
    <w:p w:rsidR="0044477A" w:rsidRPr="00AF7742" w:rsidRDefault="0044477A" w:rsidP="0044477A">
      <w:pPr>
        <w:pStyle w:val="AralkYok"/>
        <w:jc w:val="both"/>
      </w:pPr>
    </w:p>
    <w:p w:rsidR="0044477A" w:rsidRPr="00AF7742" w:rsidRDefault="0044477A" w:rsidP="0044477A">
      <w:pPr>
        <w:pStyle w:val="AralkYok"/>
        <w:jc w:val="both"/>
      </w:pPr>
      <w:r w:rsidRPr="00AF7742">
        <w:rPr>
          <w:b/>
          <w:u w:val="single"/>
        </w:rPr>
        <w:t xml:space="preserve">Hapis cezasının ertelenmesi: </w:t>
      </w:r>
      <w:bookmarkStart w:id="5" w:name="51"/>
      <w:bookmarkEnd w:id="5"/>
      <w:r w:rsidRPr="00AF7742">
        <w:rPr>
          <w:b/>
          <w:u w:val="single"/>
        </w:rPr>
        <w:t xml:space="preserve">TCK m. </w:t>
      </w:r>
      <w:r w:rsidRPr="00AF7742">
        <w:t xml:space="preserve">51 </w:t>
      </w:r>
    </w:p>
    <w:p w:rsidR="0044477A" w:rsidRPr="00AF7742" w:rsidRDefault="0044477A" w:rsidP="0044477A">
      <w:pPr>
        <w:pStyle w:val="AralkYok"/>
        <w:jc w:val="both"/>
      </w:pPr>
      <w:r w:rsidRPr="00AF7742">
        <w:lastRenderedPageBreak/>
        <w:t>İşlediği suçtan dolayı iki yıl veya daha az süreyle hapis cezasına mahkûm edilen kişinin cezası ertelenebilir. Bu sürenin üst sınırı, fiili işlediği sırada onsekiz yaşını doldurmamış veya altmışbeş yaşını bitirmiş olan kişiler bakımından üç yıldır. Ancak, erteleme kararının verilebilmesi için kişinin;</w:t>
      </w:r>
    </w:p>
    <w:p w:rsidR="0044477A" w:rsidRPr="00AF7742" w:rsidRDefault="0044477A" w:rsidP="0044477A">
      <w:pPr>
        <w:pStyle w:val="AralkYok"/>
        <w:jc w:val="both"/>
      </w:pPr>
      <w:r w:rsidRPr="00AF7742">
        <w:t>a) Daha önce kasıtlı bir suçtan dolayı üç aydan fazla hapis cezasına mahkûm edilmemiş olması,</w:t>
      </w:r>
    </w:p>
    <w:p w:rsidR="0044477A" w:rsidRPr="00AF7742" w:rsidRDefault="0044477A" w:rsidP="0044477A">
      <w:pPr>
        <w:pStyle w:val="AralkYok"/>
        <w:jc w:val="both"/>
      </w:pPr>
      <w:r w:rsidRPr="00AF7742">
        <w:t>b) Suçu işledikten sonra yargılama sürecinde gösterdiği pişmanlık dolayısıyla tekrar suç işlemeyeceği konusunda mahkemede bir kanaatin oluşması, gerekir.</w:t>
      </w:r>
    </w:p>
    <w:p w:rsidR="0044477A" w:rsidRPr="00AF7742" w:rsidRDefault="0044477A" w:rsidP="0044477A">
      <w:pPr>
        <w:pStyle w:val="AralkYok"/>
        <w:jc w:val="both"/>
      </w:pPr>
      <w:r w:rsidRPr="00AF7742">
        <w:t xml:space="preserve">Cezası ertelenen hükümlü hakkında, bir yıldan az, üç yıldan fazla olmamak üzere, bir denetim süresi belirlenir. Bu sürenin alt sınırı, mahkûm olunan ceza süresinden az olamaz. Hükümlünün denetim süresi içinde kasıtlı bir suç işlemesi veya kendisine yüklenen yükümlülüklere, hakimin uyarısına rağmen, uymamakta ısrar etmesi halinde; ertelenen cezanın kısmen veya tamamen infaz kurumunda çektirilmesine karar verilir. Denetim süresi yükümlülüklere uygun veya iyi halli olarak geçirildiği takdirde, ceza infaz edilmiş sayılır. </w:t>
      </w:r>
    </w:p>
    <w:p w:rsidR="0044477A" w:rsidRDefault="0044477A" w:rsidP="0044477A">
      <w:pPr>
        <w:pStyle w:val="AralkYok"/>
        <w:jc w:val="both"/>
        <w:rPr>
          <w:bCs/>
        </w:rPr>
      </w:pPr>
    </w:p>
    <w:p w:rsidR="0044477A" w:rsidRPr="00AF7742" w:rsidRDefault="0044477A" w:rsidP="0044477A">
      <w:pPr>
        <w:pStyle w:val="AralkYok"/>
        <w:jc w:val="both"/>
        <w:rPr>
          <w:bCs/>
        </w:rPr>
      </w:pPr>
      <w:r w:rsidRPr="00CA0135">
        <w:rPr>
          <w:bCs/>
          <w:highlight w:val="yellow"/>
        </w:rPr>
        <w:t>NOT:</w:t>
      </w:r>
      <w:r w:rsidRPr="00AF7742">
        <w:rPr>
          <w:bCs/>
        </w:rPr>
        <w:t xml:space="preserve"> Kanun, hapis cezasının ertelenmesini açıkça düzenlemiştir. Sadece iki yıl veya daha az süreyle hapis cezasına mahkûm edilen kişinin cezası ertelenebilir. Para cezaları ertelenemez. Suçu işlediği sırada onsekiz yaşını doldurmamış veya altmışbeş yaşını bitirmiş olan kişilerin 3 yıla kadar olan cezaları ertelenebilir. Koşulları gerçekleşmiş olsa bile mahkeme erteleme kararı vermek zorunda değildir. Çünkü kanun bu konuda “işlediği suçtan dolayı iki yıl veya daha az süreyle hapis cezasına mahkûm edilen kişinin </w:t>
      </w:r>
      <w:r w:rsidRPr="00AF7742">
        <w:rPr>
          <w:bCs/>
          <w:u w:val="single"/>
        </w:rPr>
        <w:t>cezası ertelenebilir”</w:t>
      </w:r>
      <w:r w:rsidRPr="00AF7742">
        <w:rPr>
          <w:bCs/>
        </w:rPr>
        <w:t xml:space="preserve"> diyerek mahkemeye takdir yetkisi vermiştir. Erteleme kararının verilebilmesi için kişinin daha önce kasıtlı bir suçtan dolayı üç aydan fazla hapis cezasına mahkûm edilmemiş olması ve suçu işledikten sonra yargılama sürecinde gösterdiği pişmanlık dolayısıyla tekrar suç işlemeyeceği konusunda mahkemede bir kanaatin oluşması gerekir. Hükümlünün denetim süresi içinde kasıtlı bir suç işlemesi veya kendisine yüklenen yükümlülüklere, hâkimin uyarısına rağmen, uymamakta ısrar etmesi hâlinde; ertelenen cezanın kısmen veya tamamen infaz kurumunda çektirilmesine karar verilir. Denetim süresi yükümlülüklere uygun veya iyi hâlli olarak geçirildiği takdirde, ceza infaz edilmiş sayılır. </w:t>
      </w:r>
    </w:p>
    <w:p w:rsidR="0044477A" w:rsidRPr="00AF7742" w:rsidRDefault="0044477A" w:rsidP="0044477A">
      <w:pPr>
        <w:pStyle w:val="AralkYok"/>
        <w:jc w:val="both"/>
        <w:rPr>
          <w:b/>
        </w:rPr>
      </w:pPr>
    </w:p>
    <w:p w:rsidR="0044477A" w:rsidRPr="00AF7742" w:rsidRDefault="0044477A" w:rsidP="0044477A">
      <w:pPr>
        <w:pStyle w:val="AralkYok"/>
        <w:jc w:val="both"/>
      </w:pPr>
    </w:p>
    <w:p w:rsidR="0044477A" w:rsidRPr="00AF7742" w:rsidRDefault="0044477A" w:rsidP="0044477A">
      <w:pPr>
        <w:pStyle w:val="AralkYok"/>
        <w:jc w:val="both"/>
      </w:pPr>
      <w:r w:rsidRPr="00AF7742">
        <w:rPr>
          <w:highlight w:val="cyan"/>
        </w:rPr>
        <w:t>ADLİ PARA CEZASININ BELİRLENMESİ</w:t>
      </w:r>
      <w:r w:rsidRPr="00AF7742">
        <w:t xml:space="preserve"> </w:t>
      </w:r>
    </w:p>
    <w:p w:rsidR="0044477A" w:rsidRPr="00AF7742" w:rsidRDefault="0044477A" w:rsidP="0044477A">
      <w:pPr>
        <w:pStyle w:val="AralkYok"/>
        <w:jc w:val="both"/>
      </w:pPr>
      <w:r w:rsidRPr="00AF7742">
        <w:rPr>
          <w:b/>
          <w:u w:val="single"/>
        </w:rPr>
        <w:t xml:space="preserve">Adlî para cezası: TCK m. </w:t>
      </w:r>
      <w:r w:rsidRPr="00AF7742">
        <w:t xml:space="preserve">52 </w:t>
      </w:r>
    </w:p>
    <w:p w:rsidR="0044477A" w:rsidRPr="00AF7742" w:rsidRDefault="0044477A" w:rsidP="0044477A">
      <w:pPr>
        <w:pStyle w:val="AralkYok"/>
        <w:jc w:val="both"/>
        <w:rPr>
          <w:b/>
          <w:u w:val="single"/>
        </w:rPr>
      </w:pPr>
      <w:r w:rsidRPr="00AF7742">
        <w:t xml:space="preserve">Adlî para cezası, beş günden az ve Kanunda aksine hüküm bulunmayan hallerde yediyüzotuz günden fazla olmamak üzere belirlenen tam gün sayısının, bir gün karşılığı olarak takdir edilen miktar ile çarpılması suretiyle hesaplanan meblağın hükümlü tarafından </w:t>
      </w:r>
      <w:r w:rsidRPr="00AF7742">
        <w:rPr>
          <w:u w:val="single"/>
        </w:rPr>
        <w:t>Devlet Hazinesine ödenmesinden ibarettir</w:t>
      </w:r>
      <w:r w:rsidRPr="00AF7742">
        <w:t>. En az yirmi ve en fazla yüz Türk Lirası olan bir gün karşılığı adlî para cezasının miktarı, kişinin ekonomik ve diğer şahsi halleri göz önünde bulundurularak takdir edilir. Hakim, ekonomik ve şahsi hallerini göz önünde bulundurarak, kişiye adlî para cezasını ödemesi için hükmün kesinleşme tarihinden itibaren bir yıldan fazla olmamak üzere mehil verebileceği gibi, bu cezanın belirli taksitler halinde ödenmesine de karar verebilir. Taksit süresi iki yılı geçemez ve taksit miktarı dörtten az olamaz. Kararda, taksitlerden birinin zamanında ödenmemesi halinde geri kalan kısmın tamamının tahsil edileceği ve ödenmeyen adlî para cezasının hapse çevrileceği belirtilir. Kanunda aksine hüküm bulunmayan hallerde  EN AZ 100 Lira – EN ÇOK 73000 LİRA.</w:t>
      </w:r>
    </w:p>
    <w:p w:rsidR="0044477A" w:rsidRPr="00AF7742" w:rsidRDefault="0044477A" w:rsidP="0044477A">
      <w:pPr>
        <w:pStyle w:val="AralkYok"/>
        <w:jc w:val="both"/>
      </w:pPr>
      <w:r w:rsidRPr="00AF7742">
        <w:t xml:space="preserve">TCK m. 61/f.9- Adli para cezasının seçimlik ceza olarak öngörüldüğü suçlarda bu cezaya ilişkin gün biriminin alt sınırı, o suç tanımındaki hapis cezasının alt sınırından az; üst sınırı da, hapis cezasının üst sınırından fazla olamaz. </w:t>
      </w:r>
    </w:p>
    <w:p w:rsidR="0044477A" w:rsidRPr="00AF7742" w:rsidRDefault="0044477A" w:rsidP="0044477A">
      <w:pPr>
        <w:pStyle w:val="AralkYok"/>
        <w:jc w:val="both"/>
        <w:rPr>
          <w:b/>
        </w:rPr>
      </w:pPr>
    </w:p>
    <w:p w:rsidR="0044477A" w:rsidRPr="00AF7742" w:rsidRDefault="0044477A" w:rsidP="0044477A">
      <w:pPr>
        <w:pStyle w:val="AralkYok"/>
        <w:jc w:val="both"/>
        <w:rPr>
          <w:b/>
        </w:rPr>
      </w:pPr>
      <w:r w:rsidRPr="00AF7742">
        <w:rPr>
          <w:b/>
          <w:highlight w:val="cyan"/>
        </w:rPr>
        <w:t>GÜVENLİK TEDBİRLERİ</w:t>
      </w:r>
    </w:p>
    <w:p w:rsidR="0044477A" w:rsidRPr="00AF7742" w:rsidRDefault="0044477A" w:rsidP="0044477A">
      <w:pPr>
        <w:pStyle w:val="AralkYok"/>
        <w:jc w:val="both"/>
      </w:pPr>
      <w:r w:rsidRPr="00AF7742">
        <w:lastRenderedPageBreak/>
        <w:t xml:space="preserve">Suç karşılığında uygulanan bir diğer yaptırım da güvenlik tedbirleridir. Mahkum olunan ceza nedeniyle kimi meni ve siyasi hakların kısıtlanması, tekerrür ve ceza ehliyeti olmayanların denetim altında tutulması halleri güvenlik tedbiri olarak düzenlenmiştir.  </w:t>
      </w:r>
    </w:p>
    <w:p w:rsidR="0044477A" w:rsidRPr="00AF7742" w:rsidRDefault="0044477A" w:rsidP="0044477A">
      <w:pPr>
        <w:pStyle w:val="AralkYok"/>
        <w:jc w:val="both"/>
        <w:rPr>
          <w:u w:val="single"/>
        </w:rPr>
      </w:pPr>
    </w:p>
    <w:p w:rsidR="0044477A" w:rsidRPr="00AF7742" w:rsidRDefault="0044477A" w:rsidP="0044477A">
      <w:pPr>
        <w:pStyle w:val="AralkYok"/>
        <w:jc w:val="both"/>
      </w:pPr>
      <w:r w:rsidRPr="00AF7742">
        <w:t>Belli hakları kullanmaktan yoksun bırakılma TCK m. 53</w:t>
      </w:r>
    </w:p>
    <w:p w:rsidR="0044477A" w:rsidRPr="00AF7742" w:rsidRDefault="0044477A" w:rsidP="0044477A">
      <w:pPr>
        <w:pStyle w:val="AralkYok"/>
        <w:jc w:val="both"/>
        <w:rPr>
          <w:rFonts w:eastAsia="Arial Unicode MS"/>
        </w:rPr>
      </w:pPr>
      <w:r w:rsidRPr="00AF7742">
        <w:rPr>
          <w:rFonts w:eastAsia="Arial Unicode MS"/>
        </w:rPr>
        <w:t>(1) Kişi, kasten işlemiş olduğu suçtan dolayı hapis cezasına mahkûmiyetin kanuni sonucu olarak;</w:t>
      </w:r>
    </w:p>
    <w:p w:rsidR="0044477A" w:rsidRPr="00AF7742" w:rsidRDefault="0044477A" w:rsidP="0044477A">
      <w:pPr>
        <w:pStyle w:val="AralkYok"/>
        <w:jc w:val="both"/>
        <w:rPr>
          <w:rFonts w:eastAsia="Arial Unicode MS"/>
        </w:rPr>
      </w:pPr>
      <w:r w:rsidRPr="00AF7742">
        <w:rPr>
          <w:rFonts w:eastAsia="Arial Unicode MS"/>
        </w:rPr>
        <w:t>a) Sürekli, süreli veya geçici bir kamu görevinin üstlenilmesinden; bu kapsamda, Türkiye Büyük Millet Meclisi üyeliğinden veya Devlet, il, belediye, köy veya bunların denetim ve gözetimi altında bulunan kurum ve kuruluşlarca verilen, atamaya veya seçime tabi bütün memuriyet ve hizmetlerde istihdam edilmekten,</w:t>
      </w:r>
    </w:p>
    <w:p w:rsidR="0044477A" w:rsidRPr="00AF7742" w:rsidRDefault="0044477A" w:rsidP="0044477A">
      <w:pPr>
        <w:pStyle w:val="AralkYok"/>
        <w:jc w:val="both"/>
        <w:rPr>
          <w:rFonts w:eastAsia="Arial Unicode MS"/>
        </w:rPr>
      </w:pPr>
      <w:r w:rsidRPr="00AF7742">
        <w:rPr>
          <w:rFonts w:eastAsia="Arial Unicode MS"/>
        </w:rPr>
        <w:t>b) Seçme ve seçilme ehliyetinden</w:t>
      </w:r>
    </w:p>
    <w:p w:rsidR="0044477A" w:rsidRPr="00AF7742" w:rsidRDefault="0044477A" w:rsidP="0044477A">
      <w:pPr>
        <w:pStyle w:val="AralkYok"/>
        <w:jc w:val="both"/>
        <w:rPr>
          <w:rFonts w:eastAsia="Arial Unicode MS"/>
        </w:rPr>
      </w:pPr>
      <w:r w:rsidRPr="00AF7742">
        <w:rPr>
          <w:rFonts w:eastAsia="Arial Unicode MS"/>
        </w:rPr>
        <w:t>c) Velayet hakkından; vesayet veya kayyımlığa ait bir hizmette bulunmaktan,</w:t>
      </w:r>
    </w:p>
    <w:p w:rsidR="0044477A" w:rsidRPr="00AF7742" w:rsidRDefault="0044477A" w:rsidP="0044477A">
      <w:pPr>
        <w:pStyle w:val="AralkYok"/>
        <w:jc w:val="both"/>
        <w:rPr>
          <w:rFonts w:eastAsia="Arial Unicode MS"/>
        </w:rPr>
      </w:pPr>
      <w:r w:rsidRPr="00AF7742">
        <w:rPr>
          <w:rFonts w:eastAsia="Arial Unicode MS"/>
        </w:rPr>
        <w:t>d) Vakıf, dernek, sendika, şirket, kooperatif ve siyasi parti tüzel kişiliklerinin yöneticisi veya denetçisi olmaktan,</w:t>
      </w:r>
    </w:p>
    <w:p w:rsidR="0044477A" w:rsidRPr="00AF7742" w:rsidRDefault="0044477A" w:rsidP="0044477A">
      <w:pPr>
        <w:pStyle w:val="AralkYok"/>
        <w:jc w:val="both"/>
        <w:rPr>
          <w:rFonts w:eastAsia="Arial Unicode MS"/>
        </w:rPr>
      </w:pPr>
      <w:r w:rsidRPr="00AF7742">
        <w:rPr>
          <w:rFonts w:eastAsia="Arial Unicode MS"/>
        </w:rPr>
        <w:t>e) Bir kamu kurumunun veya kamu kurumu niteliğindeki meslek kuruluşunun iznine tabi bir meslek veya sanatı, kendi sorumluluğu altında serbest meslek erbabı veya tacir olarak icra etmekten, yoksun bırakılır.</w:t>
      </w:r>
    </w:p>
    <w:p w:rsidR="0044477A" w:rsidRPr="00AF7742" w:rsidRDefault="0044477A" w:rsidP="0044477A">
      <w:pPr>
        <w:pStyle w:val="AralkYok"/>
        <w:jc w:val="both"/>
        <w:rPr>
          <w:rFonts w:eastAsia="Arial Unicode MS"/>
        </w:rPr>
      </w:pPr>
      <w:r w:rsidRPr="00AF7742">
        <w:rPr>
          <w:rFonts w:eastAsia="Arial Unicode MS"/>
        </w:rPr>
        <w:t>(2) Kişi, işlemiş bulunduğu suç dolayısıyla mahkûm olduğu hapis cezasının infazı tamamlanıncaya kadar bu hakları kullanamaz.</w:t>
      </w:r>
    </w:p>
    <w:p w:rsidR="0044477A" w:rsidRPr="00AF7742" w:rsidRDefault="0044477A" w:rsidP="0044477A">
      <w:pPr>
        <w:pStyle w:val="AralkYok"/>
        <w:jc w:val="both"/>
        <w:rPr>
          <w:rFonts w:eastAsia="Arial Unicode MS"/>
        </w:rPr>
      </w:pPr>
      <w:r w:rsidRPr="00AF7742">
        <w:rPr>
          <w:rFonts w:eastAsia="Arial Unicode MS"/>
        </w:rPr>
        <w:t>(3) Mahkûm olduğu hapis cezası ertelenen veya koşullu salıverilen hükümlünün kendi altsoyu üzerindeki velayet, vesayet ve kayyımlık yetkileri açısından yukarıdaki fıkralar hükümleri uygulanmaz. Mahkûm olduğu hapis cezası ertelenen hükümlü hakkında birinci fıkranın (e) bendinde söz konusu edilen hak yoksunluğunun uygulanmamasına karar verilebilir.</w:t>
      </w:r>
    </w:p>
    <w:p w:rsidR="0044477A" w:rsidRPr="00AF7742" w:rsidRDefault="0044477A" w:rsidP="0044477A">
      <w:pPr>
        <w:pStyle w:val="AralkYok"/>
        <w:jc w:val="both"/>
        <w:rPr>
          <w:rFonts w:eastAsia="Arial Unicode MS"/>
        </w:rPr>
      </w:pPr>
      <w:r w:rsidRPr="00AF7742">
        <w:rPr>
          <w:rFonts w:eastAsia="Arial Unicode MS"/>
        </w:rPr>
        <w:t xml:space="preserve">(4) Kısa süreli hapis cezası ertelenmiş veya fiili işlediği sırada onsekiz yaşını doldurmamış olan kişiler hakkında birinci fıkra hükmü uygulanmaz. </w:t>
      </w:r>
    </w:p>
    <w:p w:rsidR="0044477A" w:rsidRPr="00AF7742" w:rsidRDefault="0044477A" w:rsidP="0044477A">
      <w:pPr>
        <w:pStyle w:val="AralkYok"/>
        <w:jc w:val="both"/>
        <w:rPr>
          <w:rFonts w:eastAsia="Arial Unicode MS"/>
        </w:rPr>
      </w:pPr>
      <w:r w:rsidRPr="00AF7742">
        <w:rPr>
          <w:rFonts w:eastAsia="Arial Unicode MS"/>
        </w:rPr>
        <w:t>(5) Birinci fıkrada sayılan hak ve yetkilerden birinin kötüye kullanılması suretiyle işlenen suçlar dolayısıyla hapis cezasına mahkûmiyet halinde, ayrıca, cezanın infazından sonra işlemek üzere, hükmolunan cezanın yarısından bir katına kadar bu hak ve yetkinin kullanılmasının yasaklanmasına karar verilir. Bu hak ve yetkilerden birinin kötüye kullanılması suretiyle işlenen suçlar dolayısıyla sadece adlî para cezasına mahkûmiyet halinde, hükümde belirtilen gün sayısının yarısından bir katına kadar bu hak ve yetkinin kullanılmasının yasaklanmasına karar verilir. Hükmün kesinleşmesiyle icraya konan yasaklama ile ilgili süre, adlî para cezasının tamamen infazından itibaren işlemeye başlar.</w:t>
      </w:r>
    </w:p>
    <w:p w:rsidR="0044477A" w:rsidRPr="00AF7742" w:rsidRDefault="0044477A" w:rsidP="0044477A">
      <w:pPr>
        <w:pStyle w:val="AralkYok"/>
        <w:jc w:val="both"/>
        <w:rPr>
          <w:rFonts w:eastAsia="Arial Unicode MS"/>
        </w:rPr>
      </w:pPr>
      <w:r w:rsidRPr="00AF7742">
        <w:rPr>
          <w:rFonts w:eastAsia="Arial Unicode MS"/>
        </w:rPr>
        <w:t>(6) Belli bir meslek veya sanatın ya da trafik düzeninin gerektirdiği dikkat ve özen yükümlülüğüne aykırılık dolayısıyla işlenen taksirli suçtan mahkûmiyet halinde, üç aydan az ve üç yıldan fazla olmamak üzere, bu meslek veya sanatın icrasının yasaklanmasına ya da sürücü belgesinin geri alınmasına karar verilebilir. Yasaklama ve geri alma hükmün kesinleşmesiyle yürürlüğe girer ve süre, cezanın tümüyle infazından itibaren işlemeye başlar.</w:t>
      </w:r>
    </w:p>
    <w:p w:rsidR="0044477A" w:rsidRPr="00AF7742" w:rsidRDefault="0044477A" w:rsidP="0044477A">
      <w:pPr>
        <w:pStyle w:val="AralkYok"/>
        <w:jc w:val="both"/>
      </w:pPr>
    </w:p>
    <w:p w:rsidR="0044477A" w:rsidRPr="00AF7742" w:rsidRDefault="0044477A" w:rsidP="0044477A">
      <w:pPr>
        <w:pStyle w:val="AralkYok"/>
        <w:jc w:val="both"/>
      </w:pPr>
      <w:r w:rsidRPr="00CA0135">
        <w:rPr>
          <w:highlight w:val="yellow"/>
        </w:rPr>
        <w:t>NOT:</w:t>
      </w:r>
      <w:r w:rsidRPr="00AF7742">
        <w:t xml:space="preserve"> Kişi, işlemiş bulunduğu suç dolayısıyla mahkûm olduğu hapis cezasının infazı tamamlanıncaya kadar bu hakları kullanamaz.</w:t>
      </w:r>
      <w:r>
        <w:t xml:space="preserve"> </w:t>
      </w:r>
      <w:r w:rsidRPr="00AF7742">
        <w:t>Yasaklama ve geri alma hükmün kesinleşmesiyle yürürlüğe girer ve süre, cezanın tümüyle infazından itibaren işlemeye başlar.</w:t>
      </w:r>
    </w:p>
    <w:p w:rsidR="0044477A" w:rsidRPr="00AF7742" w:rsidRDefault="0044477A" w:rsidP="0044477A">
      <w:pPr>
        <w:pStyle w:val="AralkYok"/>
        <w:jc w:val="both"/>
      </w:pPr>
    </w:p>
    <w:p w:rsidR="0044477A" w:rsidRPr="00AF7742" w:rsidRDefault="0044477A" w:rsidP="0044477A">
      <w:pPr>
        <w:pStyle w:val="AralkYok"/>
        <w:jc w:val="both"/>
        <w:rPr>
          <w:u w:val="single"/>
        </w:rPr>
      </w:pPr>
      <w:r w:rsidRPr="00AF7742">
        <w:rPr>
          <w:b/>
          <w:u w:val="single"/>
        </w:rPr>
        <w:t xml:space="preserve">Eşya müsaderesi </w:t>
      </w:r>
      <w:r w:rsidRPr="00AF7742">
        <w:rPr>
          <w:u w:val="single"/>
        </w:rPr>
        <w:t>TCK m</w:t>
      </w:r>
      <w:r w:rsidRPr="00AF7742">
        <w:rPr>
          <w:b/>
          <w:u w:val="single"/>
        </w:rPr>
        <w:t xml:space="preserve">. </w:t>
      </w:r>
      <w:r w:rsidRPr="00AF7742">
        <w:rPr>
          <w:u w:val="single"/>
        </w:rPr>
        <w:t>54</w:t>
      </w:r>
    </w:p>
    <w:p w:rsidR="0044477A" w:rsidRPr="00AF7742" w:rsidRDefault="0044477A" w:rsidP="0044477A">
      <w:pPr>
        <w:pStyle w:val="AralkYok"/>
        <w:jc w:val="both"/>
        <w:rPr>
          <w:rFonts w:eastAsia="Arial Unicode MS"/>
        </w:rPr>
      </w:pPr>
      <w:r w:rsidRPr="00AF7742">
        <w:rPr>
          <w:rFonts w:eastAsia="Arial Unicode MS"/>
        </w:rPr>
        <w:t>(1) İyiniyetli üçüncü kişilere ait olmamak koşuluyla, kasıtlı bir suçun işlenmesinde kullanılan veya suçun işlenmesine tahsis edilen ya da suçtan meydana gelen eşyanın müsaderesine hükmolunur. Suçun işlenmesinde kullanılmak üzere hazırlanan eşya, kamu güvenliği, kamu sağlığı veya genel ahlak açısından tehlikeli olması durumunda müsadere edilir.</w:t>
      </w:r>
      <w:r w:rsidRPr="00AF7742">
        <w:rPr>
          <w:color w:val="000000"/>
        </w:rPr>
        <w:t xml:space="preserve"> </w:t>
      </w:r>
      <w:r w:rsidRPr="00AF7742">
        <w:rPr>
          <w:b/>
          <w:color w:val="000000"/>
        </w:rPr>
        <w:t xml:space="preserve">(Ek cümle: </w:t>
      </w:r>
      <w:r w:rsidRPr="00AF7742">
        <w:rPr>
          <w:b/>
          <w:color w:val="000000"/>
        </w:rPr>
        <w:lastRenderedPageBreak/>
        <w:t xml:space="preserve">24/11/2016-6763/11 md.) </w:t>
      </w:r>
      <w:r w:rsidRPr="00AF7742">
        <w:rPr>
          <w:color w:val="000000"/>
        </w:rPr>
        <w:t>Eşyanın üzerinde iyiniyetli üçüncü kişiler lehine tesis edilmiş sınırlı ayni hakkın bulunması hâlinde müsadere kararı, bu hak saklı kalmak şartıyla verilir.</w:t>
      </w:r>
    </w:p>
    <w:p w:rsidR="0044477A" w:rsidRPr="00AF7742" w:rsidRDefault="0044477A" w:rsidP="0044477A">
      <w:pPr>
        <w:pStyle w:val="AralkYok"/>
        <w:jc w:val="both"/>
        <w:rPr>
          <w:rFonts w:eastAsia="Arial Unicode MS"/>
        </w:rPr>
      </w:pPr>
      <w:r w:rsidRPr="00AF7742">
        <w:rPr>
          <w:rFonts w:eastAsia="Arial Unicode MS"/>
        </w:rPr>
        <w:t>(2) Birinci fıkra kapsamına giren eşyanın, ortadan kaldırılması, elden çıkarılması, tüketilmesi veya müsaderesinin başka bir surette imkansız kılınması halinde; bu eşyanın değeri kadar para tutarının müsaderesine karar verilir.</w:t>
      </w:r>
    </w:p>
    <w:p w:rsidR="0044477A" w:rsidRPr="00AF7742" w:rsidRDefault="0044477A" w:rsidP="0044477A">
      <w:pPr>
        <w:pStyle w:val="AralkYok"/>
        <w:jc w:val="both"/>
        <w:rPr>
          <w:rFonts w:eastAsia="Arial Unicode MS"/>
        </w:rPr>
      </w:pPr>
      <w:r w:rsidRPr="00AF7742">
        <w:rPr>
          <w:rFonts w:eastAsia="Arial Unicode MS"/>
        </w:rPr>
        <w:t>(3) Suçta kullanılan eşyanın müsadere edilmesinin işlenen suça nazaran daha ağır sonuçlar doğuracağı ve bu nedenle hakkaniyete aykırı olacağı anlaşıldığında, müsaderesine hükmedilmeyebilir.</w:t>
      </w:r>
    </w:p>
    <w:p w:rsidR="0044477A" w:rsidRPr="00AF7742" w:rsidRDefault="0044477A" w:rsidP="0044477A">
      <w:pPr>
        <w:pStyle w:val="AralkYok"/>
        <w:jc w:val="both"/>
        <w:rPr>
          <w:rFonts w:eastAsia="Arial Unicode MS"/>
        </w:rPr>
      </w:pPr>
      <w:r w:rsidRPr="00AF7742">
        <w:rPr>
          <w:rFonts w:eastAsia="Arial Unicode MS"/>
        </w:rPr>
        <w:t>(4) Üretimi, bulundurulması, kullanılması, taşınması, alım ve satımı suç oluşturan eşya, müsadere edilir.</w:t>
      </w:r>
    </w:p>
    <w:p w:rsidR="0044477A" w:rsidRPr="00AF7742" w:rsidRDefault="0044477A" w:rsidP="0044477A">
      <w:pPr>
        <w:pStyle w:val="AralkYok"/>
        <w:jc w:val="both"/>
        <w:rPr>
          <w:rFonts w:eastAsia="Arial Unicode MS"/>
        </w:rPr>
      </w:pPr>
      <w:r w:rsidRPr="00AF7742">
        <w:rPr>
          <w:rFonts w:eastAsia="Arial Unicode MS"/>
        </w:rPr>
        <w:t>(5) Bir şeyin sadece bazı kısımlarının müsaderesi gerektiğinde, tümüne zarar verilmeksizin bu kısmı ayırmak olanaklı ise, sadece bu kısmın müsaderesine karar verilir.</w:t>
      </w:r>
    </w:p>
    <w:p w:rsidR="0044477A" w:rsidRPr="00AF7742" w:rsidRDefault="0044477A" w:rsidP="0044477A">
      <w:pPr>
        <w:pStyle w:val="AralkYok"/>
        <w:jc w:val="both"/>
        <w:rPr>
          <w:rFonts w:eastAsia="Arial Unicode MS"/>
        </w:rPr>
      </w:pPr>
      <w:r w:rsidRPr="00AF7742">
        <w:rPr>
          <w:rFonts w:eastAsia="Arial Unicode MS"/>
        </w:rPr>
        <w:t>(6) Birden fazla kişinin paydaş olduğu eşya ile ilgili olarak, sadece suça iştirak eden kişinin payının müsaderesine hükmolunur.</w:t>
      </w:r>
    </w:p>
    <w:p w:rsidR="0044477A" w:rsidRPr="00AF7742" w:rsidRDefault="0044477A" w:rsidP="0044477A">
      <w:pPr>
        <w:pStyle w:val="AralkYok"/>
        <w:jc w:val="both"/>
      </w:pPr>
      <w:r w:rsidRPr="00AF7742">
        <w:rPr>
          <w:b/>
          <w:u w:val="single"/>
        </w:rPr>
        <w:t xml:space="preserve">Kazanç müsaderesi </w:t>
      </w:r>
      <w:r w:rsidRPr="00AF7742">
        <w:rPr>
          <w:u w:val="single"/>
        </w:rPr>
        <w:t xml:space="preserve">TCK m. </w:t>
      </w:r>
      <w:bookmarkStart w:id="6" w:name="55"/>
      <w:bookmarkEnd w:id="6"/>
      <w:r w:rsidRPr="00AF7742">
        <w:rPr>
          <w:u w:val="single"/>
        </w:rPr>
        <w:t>55</w:t>
      </w:r>
    </w:p>
    <w:p w:rsidR="0044477A" w:rsidRPr="00AF7742" w:rsidRDefault="0044477A" w:rsidP="0044477A">
      <w:pPr>
        <w:pStyle w:val="AralkYok"/>
        <w:jc w:val="both"/>
        <w:rPr>
          <w:rFonts w:eastAsia="Arial Unicode MS"/>
        </w:rPr>
      </w:pPr>
      <w:r w:rsidRPr="00AF7742">
        <w:rPr>
          <w:rFonts w:eastAsia="Arial Unicode MS"/>
        </w:rPr>
        <w:t>(1) Suçun işlenmesi ile elde edilen veya suçun konusunu oluşturan ya da suçun işlenmesi için sağlanan maddi menfaatler ile bunların değerlendirilmesi veya dönüştürülmesi sonucu ortaya çıkan ekonomik kazançların müsaderesine karar verilir. Bu fıkra hükmüne göre müsadere kararı verilebilmesi için maddi menfaatin suçun mağduruna iade edilememesi gerekir.</w:t>
      </w:r>
    </w:p>
    <w:p w:rsidR="0044477A" w:rsidRPr="00AF7742" w:rsidRDefault="0044477A" w:rsidP="0044477A">
      <w:pPr>
        <w:pStyle w:val="AralkYok"/>
        <w:jc w:val="both"/>
        <w:rPr>
          <w:rFonts w:eastAsia="Arial Unicode MS"/>
        </w:rPr>
      </w:pPr>
      <w:r w:rsidRPr="00AF7742">
        <w:rPr>
          <w:rFonts w:eastAsia="Arial Unicode MS"/>
        </w:rPr>
        <w:t>2) Müsadere konusu eşya veya maddi menfaatlere elkonulamadığı veya bunların merciine teslim edilmediği hallerde, bunların karşılığını oluşturan değerlerin müsaderesine hükmedilir.</w:t>
      </w:r>
    </w:p>
    <w:p w:rsidR="0044477A" w:rsidRPr="00AF7742" w:rsidRDefault="0044477A" w:rsidP="0044477A">
      <w:pPr>
        <w:pStyle w:val="AralkYok"/>
        <w:jc w:val="both"/>
      </w:pPr>
      <w:r w:rsidRPr="00AF7742">
        <w:rPr>
          <w:rFonts w:eastAsia="Arial Unicode MS"/>
        </w:rPr>
        <w:t xml:space="preserve">(3) </w:t>
      </w:r>
      <w:r w:rsidRPr="00AF7742">
        <w:rPr>
          <w:rFonts w:eastAsia="Arial Unicode MS"/>
          <w:b/>
          <w:bCs/>
        </w:rPr>
        <w:t xml:space="preserve">(Ek: 26/6/2009 – 5918/2 md.) </w:t>
      </w:r>
      <w:r w:rsidRPr="00AF7742">
        <w:rPr>
          <w:rFonts w:eastAsia="Arial Unicode MS"/>
          <w:bCs/>
        </w:rPr>
        <w:t>Bu madde kapsamına giren eşyanın müsadere edilebilmesi için, eşyayı sonradan iktisap eden kişinin 22/11/2001 tarihli ve 4721 sayılı Türk Medenî Kanununun iyiniyetin korunmasına ilişkin hükümlerinden yararlanamıyor olması gerekir</w:t>
      </w:r>
    </w:p>
    <w:p w:rsidR="0044477A" w:rsidRPr="00AF7742" w:rsidRDefault="0044477A" w:rsidP="0044477A">
      <w:pPr>
        <w:pStyle w:val="AralkYok"/>
        <w:jc w:val="both"/>
      </w:pPr>
    </w:p>
    <w:p w:rsidR="0044477A" w:rsidRPr="00AF7742" w:rsidRDefault="0044477A" w:rsidP="0044477A">
      <w:pPr>
        <w:pStyle w:val="AralkYok"/>
        <w:jc w:val="both"/>
        <w:rPr>
          <w:u w:val="single"/>
        </w:rPr>
      </w:pPr>
      <w:r w:rsidRPr="00AF7742">
        <w:rPr>
          <w:b/>
          <w:u w:val="single"/>
        </w:rPr>
        <w:t xml:space="preserve">Çocuklara özgü güvenlik tedbirleri </w:t>
      </w:r>
      <w:bookmarkStart w:id="7" w:name="56"/>
      <w:bookmarkEnd w:id="7"/>
      <w:r w:rsidRPr="00AF7742">
        <w:rPr>
          <w:u w:val="single"/>
        </w:rPr>
        <w:t>TCK m. 56</w:t>
      </w:r>
    </w:p>
    <w:p w:rsidR="0044477A" w:rsidRPr="00AF7742" w:rsidRDefault="0044477A" w:rsidP="0044477A">
      <w:pPr>
        <w:pStyle w:val="AralkYok"/>
        <w:jc w:val="both"/>
      </w:pPr>
      <w:r w:rsidRPr="00AF7742">
        <w:t>Çocuklara özgü güvenlik tedbirlerinin neler olduğu ve ne suretle uygulanacakları ilgili Kanunda gösterilir.</w:t>
      </w:r>
    </w:p>
    <w:p w:rsidR="0044477A" w:rsidRPr="00AF7742" w:rsidRDefault="0044477A" w:rsidP="0044477A">
      <w:pPr>
        <w:pStyle w:val="AralkYok"/>
        <w:jc w:val="both"/>
      </w:pPr>
    </w:p>
    <w:p w:rsidR="0044477A" w:rsidRPr="00AF7742" w:rsidRDefault="0044477A" w:rsidP="0044477A">
      <w:pPr>
        <w:pStyle w:val="AralkYok"/>
        <w:jc w:val="both"/>
        <w:rPr>
          <w:b/>
          <w:u w:val="single"/>
        </w:rPr>
      </w:pPr>
      <w:r w:rsidRPr="00AF7742">
        <w:rPr>
          <w:b/>
          <w:u w:val="single"/>
        </w:rPr>
        <w:t xml:space="preserve">Akıl hastalarına özgü güvenlik tedbirleri </w:t>
      </w:r>
      <w:r w:rsidRPr="00AF7742">
        <w:rPr>
          <w:u w:val="single"/>
        </w:rPr>
        <w:t>TCK m. 57</w:t>
      </w:r>
    </w:p>
    <w:p w:rsidR="0044477A" w:rsidRPr="00AF7742" w:rsidRDefault="0044477A" w:rsidP="0044477A">
      <w:pPr>
        <w:pStyle w:val="AralkYok"/>
        <w:jc w:val="both"/>
      </w:pPr>
      <w:r w:rsidRPr="00AF7742">
        <w:t>Fiili işlediği sırada akıl hastası olan kişi hakkında, koruma ve tedavi amaçlı olarak güvenlik tedbirine hükmedilir. Hakkında güvenlik tedbirine hükmedilen akıl hastaları, yüksek güvenlikli sağlık kurumlarında koruma ve tedavi altına alınırlar.</w:t>
      </w:r>
    </w:p>
    <w:p w:rsidR="0044477A" w:rsidRPr="00AF7742" w:rsidRDefault="0044477A" w:rsidP="0044477A">
      <w:pPr>
        <w:pStyle w:val="AralkYok"/>
        <w:jc w:val="both"/>
      </w:pPr>
    </w:p>
    <w:p w:rsidR="0044477A" w:rsidRPr="00AF7742" w:rsidRDefault="0044477A" w:rsidP="0044477A">
      <w:pPr>
        <w:pStyle w:val="AralkYok"/>
        <w:jc w:val="both"/>
        <w:rPr>
          <w:b/>
          <w:u w:val="single"/>
        </w:rPr>
      </w:pPr>
      <w:r w:rsidRPr="00AF7742">
        <w:rPr>
          <w:b/>
          <w:u w:val="single"/>
        </w:rPr>
        <w:t xml:space="preserve">Sınır Dışı Edilme </w:t>
      </w:r>
      <w:r w:rsidRPr="00AF7742">
        <w:rPr>
          <w:u w:val="single"/>
        </w:rPr>
        <w:t>TCK m. 59</w:t>
      </w:r>
    </w:p>
    <w:p w:rsidR="0044477A" w:rsidRPr="00AF7742" w:rsidRDefault="0044477A" w:rsidP="0044477A">
      <w:pPr>
        <w:pStyle w:val="AralkYok"/>
        <w:jc w:val="both"/>
      </w:pPr>
      <w:r w:rsidRPr="00AF7742">
        <w:t xml:space="preserve">İşlediği suç nedeniyle hapis cezasına mahkum edilen yabancı, koşullu salıverilmeden yararlandıktan ve her halde cezasının infazı tamamlandıktan sonra, durumu, sınır dışı işlemleriyle ilgili olarak değerlendirilmek üzere derhal İçişleri Bakanlığına bildirilir. </w:t>
      </w:r>
    </w:p>
    <w:p w:rsidR="0044477A" w:rsidRPr="00AF7742" w:rsidRDefault="0044477A" w:rsidP="0044477A">
      <w:pPr>
        <w:pStyle w:val="AralkYok"/>
        <w:jc w:val="both"/>
      </w:pPr>
    </w:p>
    <w:p w:rsidR="0044477A" w:rsidRPr="00AF7742" w:rsidRDefault="0044477A" w:rsidP="0044477A">
      <w:pPr>
        <w:pStyle w:val="AralkYok"/>
        <w:jc w:val="both"/>
        <w:rPr>
          <w:bCs/>
          <w:u w:val="single"/>
        </w:rPr>
      </w:pPr>
      <w:r w:rsidRPr="00CA0135">
        <w:rPr>
          <w:bCs/>
          <w:highlight w:val="yellow"/>
        </w:rPr>
        <w:t>NOT:</w:t>
      </w:r>
      <w:r w:rsidRPr="00AF7742">
        <w:rPr>
          <w:bCs/>
        </w:rPr>
        <w:t xml:space="preserve"> Sınırdışı edilme sadece işlediği suç nedeniyle hapis cezasına mahkûm edilen </w:t>
      </w:r>
      <w:r w:rsidRPr="00AF7742">
        <w:rPr>
          <w:bCs/>
          <w:u w:val="single"/>
        </w:rPr>
        <w:t>yabancı</w:t>
      </w:r>
      <w:r w:rsidRPr="00AF7742">
        <w:rPr>
          <w:bCs/>
        </w:rPr>
        <w:t xml:space="preserve"> (Türk vatandaşı olamayan kişi) hakkında uygulanabilir ve sınır dışı işlemleri konsundaki </w:t>
      </w:r>
      <w:r w:rsidRPr="00AF7742">
        <w:rPr>
          <w:bCs/>
          <w:u w:val="single"/>
        </w:rPr>
        <w:t xml:space="preserve">değerlendirme içişleri bakanlığınca yapılır. </w:t>
      </w:r>
    </w:p>
    <w:p w:rsidR="0044477A" w:rsidRPr="00AF7742" w:rsidRDefault="0044477A" w:rsidP="0044477A">
      <w:pPr>
        <w:pStyle w:val="AralkYok"/>
        <w:jc w:val="both"/>
        <w:rPr>
          <w:bCs/>
          <w:u w:val="single"/>
        </w:rPr>
      </w:pPr>
    </w:p>
    <w:p w:rsidR="0044477A" w:rsidRPr="00AF7742" w:rsidRDefault="0044477A" w:rsidP="0044477A">
      <w:pPr>
        <w:pStyle w:val="AralkYok"/>
        <w:jc w:val="both"/>
        <w:rPr>
          <w:b/>
          <w:u w:val="single"/>
        </w:rPr>
      </w:pPr>
      <w:r w:rsidRPr="00AF7742">
        <w:rPr>
          <w:b/>
          <w:u w:val="single"/>
        </w:rPr>
        <w:t xml:space="preserve">Tüzel kişiler hakkında güvenlik tedbirleri </w:t>
      </w:r>
      <w:r w:rsidRPr="00AF7742">
        <w:rPr>
          <w:u w:val="single"/>
        </w:rPr>
        <w:t>TCK m. 60</w:t>
      </w:r>
    </w:p>
    <w:p w:rsidR="0044477A" w:rsidRPr="00AF7742" w:rsidRDefault="0044477A" w:rsidP="0044477A">
      <w:pPr>
        <w:pStyle w:val="AralkYok"/>
        <w:jc w:val="both"/>
      </w:pPr>
      <w:r w:rsidRPr="00AF7742">
        <w:t>Bir kamu kurumunun verdiği izne dayalı olarak faaliyette bulunan özel hukuk tüzel kişisinin organ veya temsilcilerinin iştirakiyle ve bu iznin verdiği yetkinin kötüye kullanılması suretiyle tüzel kişi yararına işlenen kasıtlı suçlardan mahkûmiyet halinde, iznin iptaline karar verilir.</w:t>
      </w:r>
    </w:p>
    <w:p w:rsidR="0044477A" w:rsidRPr="00AF7742" w:rsidRDefault="0044477A" w:rsidP="0044477A">
      <w:pPr>
        <w:pStyle w:val="AralkYok"/>
        <w:jc w:val="both"/>
        <w:rPr>
          <w:bCs/>
        </w:rPr>
      </w:pPr>
    </w:p>
    <w:p w:rsidR="0044477A" w:rsidRPr="00AF7742" w:rsidRDefault="0044477A" w:rsidP="0044477A">
      <w:pPr>
        <w:pStyle w:val="AralkYok"/>
        <w:jc w:val="both"/>
        <w:rPr>
          <w:b/>
          <w:bCs/>
        </w:rPr>
      </w:pPr>
      <w:r w:rsidRPr="00AF7742">
        <w:rPr>
          <w:b/>
          <w:bCs/>
        </w:rPr>
        <w:t>Suçta Tekerrür</w:t>
      </w:r>
    </w:p>
    <w:p w:rsidR="0044477A" w:rsidRPr="00AF7742" w:rsidRDefault="0044477A" w:rsidP="0044477A">
      <w:pPr>
        <w:pStyle w:val="AralkYok"/>
        <w:jc w:val="both"/>
        <w:rPr>
          <w:bCs/>
        </w:rPr>
      </w:pPr>
      <w:r w:rsidRPr="00AF7742">
        <w:rPr>
          <w:bCs/>
        </w:rPr>
        <w:lastRenderedPageBreak/>
        <w:t>MADDE 58.– (1) Önceden işlenen suçtan dolayı verilen hüküm kesinleştikten sonra yeni bir suçun işlenmesi hâlinde, tekerrür hükümleri uygulanır. Bunun için cezanın infaz edilmiş olması gerekmez.</w:t>
      </w:r>
    </w:p>
    <w:p w:rsidR="0044477A" w:rsidRPr="00AF7742" w:rsidRDefault="0044477A" w:rsidP="0044477A">
      <w:pPr>
        <w:pStyle w:val="AralkYok"/>
        <w:jc w:val="both"/>
        <w:rPr>
          <w:bCs/>
        </w:rPr>
      </w:pPr>
      <w:r w:rsidRPr="00AF7742">
        <w:rPr>
          <w:bCs/>
        </w:rPr>
        <w:t>(2) Tekerrür hükümleri, önceden işlenen suçtan dolayı;</w:t>
      </w:r>
    </w:p>
    <w:p w:rsidR="0044477A" w:rsidRPr="00AF7742" w:rsidRDefault="0044477A" w:rsidP="0044477A">
      <w:pPr>
        <w:pStyle w:val="AralkYok"/>
        <w:jc w:val="both"/>
        <w:rPr>
          <w:bCs/>
        </w:rPr>
      </w:pPr>
      <w:r w:rsidRPr="00AF7742">
        <w:rPr>
          <w:bCs/>
        </w:rPr>
        <w:t>a) Beş yıldan fazla süreyle hapis cezasına mahkûmiyet hâlinde, bu cezanın infaz edildiği tarihten itibaren beş yıl,</w:t>
      </w:r>
    </w:p>
    <w:p w:rsidR="0044477A" w:rsidRPr="00AF7742" w:rsidRDefault="0044477A" w:rsidP="0044477A">
      <w:pPr>
        <w:pStyle w:val="AralkYok"/>
        <w:jc w:val="both"/>
        <w:rPr>
          <w:bCs/>
        </w:rPr>
      </w:pPr>
      <w:r w:rsidRPr="00AF7742">
        <w:rPr>
          <w:bCs/>
        </w:rPr>
        <w:t>b) Beş yıl veya daha az süreli hapis ya da adlî para cezasına mahkûmiyet hâlinde, bu cezanın infaz edildiği tarihten itibaren üç yıl geçtikten sonra işlenen suçlar dolayısıyla uygulanmaz.</w:t>
      </w:r>
    </w:p>
    <w:p w:rsidR="0044477A" w:rsidRPr="00AF7742" w:rsidRDefault="0044477A" w:rsidP="0044477A">
      <w:pPr>
        <w:pStyle w:val="AralkYok"/>
        <w:jc w:val="both"/>
      </w:pPr>
      <w:r w:rsidRPr="00AF7742">
        <w:rPr>
          <w:bCs/>
        </w:rPr>
        <w:t>(3) Tekerrür hâlinde, sonraki suça ilişkin kanun maddesinde seçimlik olarak hapis cezası ile adlî para cezası öngörülmüşse, hapis cezasına hükmolunur.</w:t>
      </w:r>
    </w:p>
    <w:p w:rsidR="0044477A" w:rsidRPr="00AF7742" w:rsidRDefault="0044477A" w:rsidP="0044477A">
      <w:pPr>
        <w:pStyle w:val="AralkYok"/>
        <w:jc w:val="both"/>
        <w:rPr>
          <w:bCs/>
        </w:rPr>
      </w:pPr>
      <w:r w:rsidRPr="00AF7742">
        <w:rPr>
          <w:bCs/>
        </w:rPr>
        <w:t xml:space="preserve">(4) Kasıtlı suçlarla taksirli suçlar ve sırf askerî suçlarla diğer suçlar arasında tekerrür hükümleri uygulanmaz. Kasten öldürme, kasten yaralama, yağma, dolandırıcılık, uyuşturucu veya uyarıcı madde imal ve ticareti ile parada veya kıymetli damgada sahtecilik suçları hariç olmak üzere; yabancı ülke mahkemelerinden verilen hükümler tekerrüre esas olmaz. </w:t>
      </w:r>
    </w:p>
    <w:p w:rsidR="0044477A" w:rsidRPr="00AF7742" w:rsidRDefault="0044477A" w:rsidP="0044477A">
      <w:pPr>
        <w:pStyle w:val="AralkYok"/>
        <w:jc w:val="both"/>
        <w:rPr>
          <w:bCs/>
        </w:rPr>
      </w:pPr>
      <w:r w:rsidRPr="00AF7742">
        <w:rPr>
          <w:bCs/>
        </w:rPr>
        <w:t>(5) Fiili işlediği sırada onsekiz yaşını doldurmamış olan kişilerin işlediği suçlar dolayısıyla tekerrür hükümleri uygulanmaz.</w:t>
      </w:r>
    </w:p>
    <w:p w:rsidR="0044477A" w:rsidRPr="00AF7742" w:rsidRDefault="0044477A" w:rsidP="0044477A">
      <w:pPr>
        <w:pStyle w:val="AralkYok"/>
        <w:jc w:val="both"/>
        <w:rPr>
          <w:bCs/>
        </w:rPr>
      </w:pPr>
      <w:r w:rsidRPr="00AF7742">
        <w:rPr>
          <w:bCs/>
        </w:rPr>
        <w:t>(6) Tekerrür hâlinde hükmolunan ceza, mükerrirlere özgü infaz rejimine göre çektirilir. Ayrıca, mükerrir hakkında cezanın infazından sonra denetimli serbestlik tedbiri uygulanır.</w:t>
      </w:r>
    </w:p>
    <w:p w:rsidR="0044477A" w:rsidRPr="00AF7742" w:rsidRDefault="0044477A" w:rsidP="0044477A">
      <w:pPr>
        <w:pStyle w:val="AralkYok"/>
        <w:jc w:val="both"/>
        <w:rPr>
          <w:bCs/>
        </w:rPr>
      </w:pPr>
      <w:r w:rsidRPr="00CA0135">
        <w:rPr>
          <w:bCs/>
          <w:highlight w:val="yellow"/>
        </w:rPr>
        <w:t>NOT:</w:t>
      </w:r>
      <w:r w:rsidRPr="00AF7742">
        <w:rPr>
          <w:bCs/>
        </w:rPr>
        <w:t xml:space="preserve"> Önceden işlenen suçtan dolayı verilen </w:t>
      </w:r>
      <w:r w:rsidRPr="00AF7742">
        <w:rPr>
          <w:bCs/>
          <w:u w:val="single"/>
        </w:rPr>
        <w:t>hüküm kesinleştikten sonra</w:t>
      </w:r>
      <w:r w:rsidRPr="00AF7742">
        <w:rPr>
          <w:bCs/>
        </w:rPr>
        <w:t xml:space="preserve"> yeni bir suçun işlenmesi hâlinde, tekerrür hükümleri uygulanır. bunun için </w:t>
      </w:r>
      <w:r w:rsidRPr="00AF7742">
        <w:rPr>
          <w:bCs/>
          <w:u w:val="single"/>
        </w:rPr>
        <w:t>cezanın infaz edilmiş olması gerekmez</w:t>
      </w:r>
      <w:r w:rsidRPr="00AF7742">
        <w:rPr>
          <w:bCs/>
        </w:rPr>
        <w:t>. Bu nedenle;</w:t>
      </w:r>
    </w:p>
    <w:p w:rsidR="0044477A" w:rsidRPr="00AF7742" w:rsidRDefault="0044477A" w:rsidP="0044477A">
      <w:pPr>
        <w:pStyle w:val="AralkYok"/>
        <w:jc w:val="both"/>
        <w:rPr>
          <w:bCs/>
        </w:rPr>
      </w:pPr>
      <w:r w:rsidRPr="00AF7742">
        <w:rPr>
          <w:bCs/>
        </w:rPr>
        <w:t>1-Tekerrür hükümlerinin uygulanması için önceki suç ile sonradan işlenen suçun aynı suç olması gerekmez.</w:t>
      </w:r>
    </w:p>
    <w:p w:rsidR="0044477A" w:rsidRPr="00AF7742" w:rsidRDefault="0044477A" w:rsidP="0044477A">
      <w:pPr>
        <w:pStyle w:val="AralkYok"/>
        <w:jc w:val="both"/>
        <w:rPr>
          <w:bCs/>
        </w:rPr>
      </w:pPr>
      <w:r w:rsidRPr="00AF7742">
        <w:rPr>
          <w:bCs/>
        </w:rPr>
        <w:t xml:space="preserve">2- Kasıtlı suçlarla taksirli suçlar ve sırf askerî suçlarla diğer suçlar arasında tekerrür hükümleri uygulanmaz. </w:t>
      </w:r>
    </w:p>
    <w:p w:rsidR="0044477A" w:rsidRPr="00AF7742" w:rsidRDefault="0044477A" w:rsidP="0044477A">
      <w:pPr>
        <w:pStyle w:val="AralkYok"/>
        <w:jc w:val="both"/>
        <w:rPr>
          <w:bCs/>
        </w:rPr>
      </w:pPr>
      <w:r w:rsidRPr="00AF7742">
        <w:rPr>
          <w:bCs/>
        </w:rPr>
        <w:t>3- Koşulları gerçekleştiğinde hâkim olaya tekerrür hükümlerini uygulamalıdır.</w:t>
      </w:r>
    </w:p>
    <w:p w:rsidR="0044477A" w:rsidRPr="00AF7742" w:rsidRDefault="0044477A" w:rsidP="0044477A">
      <w:pPr>
        <w:pStyle w:val="AralkYok"/>
        <w:jc w:val="both"/>
        <w:rPr>
          <w:bCs/>
        </w:rPr>
      </w:pPr>
      <w:r w:rsidRPr="00AF7742">
        <w:rPr>
          <w:bCs/>
        </w:rPr>
        <w:t>4- Tekerrür hükümlerinin  uygulanması için cezanın infaz edilmiş olması gerekmez. Hükmün kesinleşmiş olması yeterlidir. Cezanın infaz edilmiş olması halinde de infaz edilmiş olan hüküm tekerrüre esas alınır ancak bu durumda tekerrür süresi kısaltılır. Çünkü TCK, süreli tekerrür sistemini benimsemiştir.</w:t>
      </w:r>
    </w:p>
    <w:p w:rsidR="0044477A" w:rsidRPr="00AF7742" w:rsidRDefault="0044477A" w:rsidP="0044477A">
      <w:pPr>
        <w:pStyle w:val="AralkYok"/>
        <w:jc w:val="both"/>
        <w:rPr>
          <w:bCs/>
        </w:rPr>
      </w:pPr>
      <w:r w:rsidRPr="00AF7742">
        <w:rPr>
          <w:bCs/>
        </w:rPr>
        <w:t>5- Genel affa uğramış bir mahkûmiyet tekerrüre esas alınmaz, çünkü genel af mahkûmiyetin tüm sonuçlarını ortadan kaldırır.</w:t>
      </w:r>
    </w:p>
    <w:p w:rsidR="0044477A" w:rsidRPr="00AF7742" w:rsidRDefault="0044477A" w:rsidP="0044477A">
      <w:pPr>
        <w:pStyle w:val="AralkYok"/>
        <w:jc w:val="both"/>
        <w:rPr>
          <w:bCs/>
        </w:rPr>
      </w:pPr>
      <w:r w:rsidRPr="00AF7742">
        <w:rPr>
          <w:bCs/>
        </w:rPr>
        <w:t>6- Zamanaşımına uğramış bir ceza tekerrüre esas alınır çünkü zamanaşıma uğramış bir ceza kesinleşmiş, ancak uygulanamamış (infaz edilememiştir).</w:t>
      </w:r>
    </w:p>
    <w:p w:rsidR="0044477A" w:rsidRPr="00AF7742" w:rsidRDefault="0044477A" w:rsidP="0044477A">
      <w:pPr>
        <w:pStyle w:val="AralkYok"/>
        <w:jc w:val="both"/>
        <w:rPr>
          <w:bCs/>
        </w:rPr>
      </w:pPr>
      <w:r w:rsidRPr="00AF7742">
        <w:rPr>
          <w:bCs/>
        </w:rPr>
        <w:t>7- Fiili (suçu) işlediği sırada onsekiz yaşını doldurmamış olan kişilerin işlediği suçlar dolayısıyla tekerrür hükümleri uygulanmaz.</w:t>
      </w:r>
    </w:p>
    <w:p w:rsidR="0044477A" w:rsidRPr="00AF7742" w:rsidRDefault="0044477A" w:rsidP="0044477A">
      <w:pPr>
        <w:pStyle w:val="AralkYok"/>
        <w:jc w:val="both"/>
        <w:rPr>
          <w:bCs/>
        </w:rPr>
      </w:pPr>
      <w:r w:rsidRPr="00AF7742">
        <w:rPr>
          <w:bCs/>
        </w:rPr>
        <w:t xml:space="preserve">8- Kasten öldürme, kasten yaralama, yağma, dolandırıcılık, uyuşturucu veya uyarıcı madde imal ve ticareti ile parada veya kıymetli damgada sahtecilik suçları hariç olmak üzere; yabancı ülke mahkemelerinden verilen hükümler tekerrüre esas olmaz. </w:t>
      </w:r>
    </w:p>
    <w:p w:rsidR="0044477A" w:rsidRPr="00AF7742" w:rsidRDefault="0044477A" w:rsidP="0044477A">
      <w:pPr>
        <w:pStyle w:val="AralkYok"/>
        <w:jc w:val="both"/>
        <w:rPr>
          <w:bCs/>
        </w:rPr>
      </w:pPr>
      <w:r w:rsidRPr="00AF7742">
        <w:rPr>
          <w:bCs/>
        </w:rPr>
        <w:t xml:space="preserve">9- Tekerrür hâlinde, sonraki suça ilişkin kanun maddesinde seçimlik olarak hapis cezası ile adlî para cezası öngörülmüşse, hapis cezasına hükmolunur. </w:t>
      </w:r>
    </w:p>
    <w:p w:rsidR="0044477A" w:rsidRPr="00AF7742" w:rsidRDefault="0044477A" w:rsidP="0044477A">
      <w:pPr>
        <w:pStyle w:val="AralkYok"/>
        <w:jc w:val="both"/>
        <w:rPr>
          <w:bCs/>
        </w:rPr>
      </w:pPr>
      <w:r w:rsidRPr="00AF7742">
        <w:rPr>
          <w:bCs/>
        </w:rPr>
        <w:t>10- Tekerrür hâlinde hükmolunan ceza, mükerrirlere (tekrar suç işleyenlere) özgü infaz rejimine göre çektirilir. Bu durumda cezanın yerine getirilmesi daha sert/katı bir infaz sistemine bağlı olur. Ayrıca, mükerrir hakkında cezanın infazından sonra denetimli serbestlik tedbiri uygulanır.</w:t>
      </w:r>
    </w:p>
    <w:p w:rsidR="0044477A" w:rsidRPr="00AF7742" w:rsidRDefault="0044477A" w:rsidP="0044477A">
      <w:pPr>
        <w:pStyle w:val="AralkYok"/>
        <w:jc w:val="both"/>
        <w:rPr>
          <w:bCs/>
        </w:rPr>
      </w:pPr>
      <w:r w:rsidRPr="00AF7742">
        <w:rPr>
          <w:bCs/>
        </w:rPr>
        <w:t>11- Eski kanun dönemimde tekerrür halinde sonraki suçun cezası artırılırdı. yeni kanun tekerrür halinde cezanın ağırlaştırılmasına son vererek, sonraki suçun kanundaki cezası hapis veya adli para cezası ise hapis cezasının uygulanmasını ve sonraki suçun cezasının cezaevindeki infaz koşullarının ağırlaştırılmasını kabul etmiştir.</w:t>
      </w:r>
    </w:p>
    <w:p w:rsidR="0044477A" w:rsidRPr="00AF7742" w:rsidRDefault="0044477A" w:rsidP="0044477A">
      <w:pPr>
        <w:pStyle w:val="AralkYok"/>
        <w:jc w:val="both"/>
        <w:rPr>
          <w:bCs/>
          <w:u w:val="single"/>
        </w:rPr>
      </w:pPr>
    </w:p>
    <w:p w:rsidR="0044477A" w:rsidRPr="00AF7742" w:rsidRDefault="0044477A" w:rsidP="0044477A">
      <w:pPr>
        <w:jc w:val="both"/>
        <w:rPr>
          <w:bCs/>
        </w:rPr>
      </w:pPr>
    </w:p>
    <w:p w:rsidR="0044477A" w:rsidRDefault="0044477A" w:rsidP="0044477A">
      <w:pPr>
        <w:pStyle w:val="AralkYok"/>
        <w:jc w:val="both"/>
        <w:rPr>
          <w:bCs/>
          <w:u w:val="single"/>
        </w:rPr>
      </w:pPr>
    </w:p>
    <w:p w:rsidR="0044477A" w:rsidRDefault="0044477A" w:rsidP="0044477A">
      <w:pPr>
        <w:pStyle w:val="AralkYok"/>
        <w:jc w:val="both"/>
        <w:rPr>
          <w:bCs/>
          <w:u w:val="single"/>
        </w:rPr>
      </w:pPr>
    </w:p>
    <w:p w:rsidR="0044477A" w:rsidRDefault="0044477A" w:rsidP="0044477A">
      <w:pPr>
        <w:pStyle w:val="AralkYok"/>
        <w:jc w:val="both"/>
        <w:rPr>
          <w:bCs/>
          <w:u w:val="single"/>
        </w:rPr>
      </w:pPr>
    </w:p>
    <w:p w:rsidR="00000000" w:rsidRDefault="0044477A"/>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44477A"/>
    <w:rsid w:val="004447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 id="V:Rule2" type="connector" idref="#_x0000_s1026"/>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4477A"/>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13789</Characters>
  <Application>Microsoft Office Word</Application>
  <DocSecurity>0</DocSecurity>
  <Lines>114</Lines>
  <Paragraphs>32</Paragraphs>
  <ScaleCrop>false</ScaleCrop>
  <Company/>
  <LinksUpToDate>false</LinksUpToDate>
  <CharactersWithSpaces>16176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2018-02-19T21:45:00Z</dcterms:created>
  <dcterms:modified xsi:type="dcterms:W3CDTF">2018-02-19T21:45:00Z</dcterms:modified>
</cp:coreProperties>
</file>