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50B36" w:rsidRDefault="00850B36" w:rsidP="00832AEF">
            <w:pPr>
              <w:pStyle w:val="DersBilgileri"/>
              <w:rPr>
                <w:szCs w:val="16"/>
              </w:rPr>
            </w:pPr>
            <w:r w:rsidRPr="00850B36">
              <w:rPr>
                <w:szCs w:val="16"/>
              </w:rPr>
              <w:t>FAR 406 HAFIZ ŞERHİ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Hicabi Kırlangıç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İran şiirinin önemli şairlerinden Hâfız divanından seçilmiş gazellerin şerhi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 klasik şiirin tanınması, klasik şiirin dil özelliklerinin kavranılması ve Hâfız-ı Şîrâzî’nin şiirinin ve bu şiir üzerinden klasik şiirin anlamsal boyutlarının tanınması.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0B36" w:rsidP="00850B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Bir yarıyıl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Farsça-Türkçe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B36" w:rsidP="00850B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Hâfız Divanı (çeşitli basımlar); Sûdi, Şerh-i Sûdî ber Hâfiz, çev. İsmet Settârzâde, 4 c., 5. Bs, Tahran 1378; Bahâeddin Hurremşâhî, Hâfiz-nâme, 2 c., Tahran 1366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A5686" w:rsidP="00850B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 (</w:t>
            </w:r>
            <w:r w:rsidR="00850B36">
              <w:rPr>
                <w:szCs w:val="16"/>
              </w:rPr>
              <w:t>2</w:t>
            </w:r>
            <w:r>
              <w:rPr>
                <w:szCs w:val="16"/>
              </w:rPr>
              <w:t xml:space="preserve"> ulusal)</w:t>
            </w:r>
            <w:r w:rsidR="00850B3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50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5686">
      <w:bookmarkStart w:id="0" w:name="_GoBack"/>
      <w:bookmarkEnd w:id="0"/>
    </w:p>
    <w:sectPr w:rsidR="00EB0AE2" w:rsidSect="002D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2D0545"/>
    <w:rsid w:val="004A5686"/>
    <w:rsid w:val="00832BE3"/>
    <w:rsid w:val="00850B36"/>
    <w:rsid w:val="008F373A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Hicabi</dc:creator>
  <cp:lastModifiedBy>Hicabi</cp:lastModifiedBy>
  <cp:revision>3</cp:revision>
  <dcterms:created xsi:type="dcterms:W3CDTF">2018-02-22T09:08:00Z</dcterms:created>
  <dcterms:modified xsi:type="dcterms:W3CDTF">2018-02-22T09:31:00Z</dcterms:modified>
</cp:coreProperties>
</file>