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EB62B6" w:rsidRDefault="00B522A1" w:rsidP="00EB62B6">
      <w:pPr>
        <w:pStyle w:val="ListeParagraf"/>
        <w:numPr>
          <w:ilvl w:val="0"/>
          <w:numId w:val="4"/>
        </w:numPr>
        <w:spacing w:line="276" w:lineRule="auto"/>
        <w:jc w:val="both"/>
        <w:rPr>
          <w:b/>
          <w:sz w:val="28"/>
          <w:szCs w:val="28"/>
        </w:rPr>
      </w:pPr>
      <w:r w:rsidRPr="00EB62B6">
        <w:rPr>
          <w:b/>
          <w:sz w:val="28"/>
          <w:szCs w:val="28"/>
        </w:rPr>
        <w:t>Ders:</w:t>
      </w:r>
    </w:p>
    <w:p w:rsidR="0094405B" w:rsidRDefault="00EB62B6" w:rsidP="000C4823">
      <w:pPr>
        <w:spacing w:line="276" w:lineRule="auto"/>
        <w:jc w:val="both"/>
        <w:rPr>
          <w:sz w:val="24"/>
          <w:szCs w:val="24"/>
        </w:rPr>
      </w:pPr>
      <w:r>
        <w:rPr>
          <w:sz w:val="24"/>
          <w:szCs w:val="24"/>
        </w:rPr>
        <w:t>Bu derste, genel olarak alınan spektr</w:t>
      </w:r>
      <w:r w:rsidR="00C44D0A">
        <w:rPr>
          <w:sz w:val="24"/>
          <w:szCs w:val="24"/>
        </w:rPr>
        <w:t>u</w:t>
      </w:r>
      <w:r>
        <w:rPr>
          <w:sz w:val="24"/>
          <w:szCs w:val="24"/>
        </w:rPr>
        <w:t>mların değerlendirilmesi tartışılacaktır. Bu kapsamda verilerin doğru değerlendirilmesi için spektrumdaki “sinyal-gürültü” ilişkisi detaylı olarak verilecektir. Gürültü ve işaret kavramları şekil üzerinde gösterilecektir.</w:t>
      </w:r>
      <w:r w:rsidR="00C44D0A">
        <w:rPr>
          <w:sz w:val="24"/>
          <w:szCs w:val="24"/>
        </w:rPr>
        <w:t xml:space="preserve"> </w:t>
      </w:r>
      <w:r w:rsidR="0094405B" w:rsidRPr="0094405B">
        <w:rPr>
          <w:sz w:val="24"/>
          <w:szCs w:val="24"/>
        </w:rPr>
        <w:t xml:space="preserve">Bir analitik yöntemin doğruluğunu ve hassasiyetini sınırlayan en büyük etken, "gürültü" denen yabancı ve istenmeyen sinyallerin varlığıdır; bunlar, ölçülecek analitik sinyalin üzerine binerler. </w:t>
      </w:r>
      <w:proofErr w:type="spellStart"/>
      <w:r w:rsidR="0094405B" w:rsidRPr="0094405B">
        <w:rPr>
          <w:sz w:val="24"/>
          <w:szCs w:val="24"/>
        </w:rPr>
        <w:t>Spektrofotometrik</w:t>
      </w:r>
      <w:proofErr w:type="spellEnd"/>
      <w:r w:rsidR="0094405B" w:rsidRPr="0094405B">
        <w:rPr>
          <w:sz w:val="24"/>
          <w:szCs w:val="24"/>
        </w:rPr>
        <w:t xml:space="preserve"> analizlerde karşılaşılan rasgele hatalar çeşitli değişkenlerden kaynaklanır; bunlar, enstrümanın dizaynı, dalga boyu aralığı, kaynağın şiddeti ve kararlılığı, </w:t>
      </w:r>
      <w:proofErr w:type="spellStart"/>
      <w:r w:rsidR="0094405B" w:rsidRPr="0094405B">
        <w:rPr>
          <w:sz w:val="24"/>
          <w:szCs w:val="24"/>
        </w:rPr>
        <w:t>transdüserin</w:t>
      </w:r>
      <w:proofErr w:type="spellEnd"/>
      <w:r w:rsidR="0094405B" w:rsidRPr="0094405B">
        <w:rPr>
          <w:sz w:val="24"/>
          <w:szCs w:val="24"/>
        </w:rPr>
        <w:t xml:space="preserve"> hassasiyeti, </w:t>
      </w:r>
      <w:proofErr w:type="spellStart"/>
      <w:r w:rsidR="0094405B" w:rsidRPr="0094405B">
        <w:rPr>
          <w:sz w:val="24"/>
          <w:szCs w:val="24"/>
        </w:rPr>
        <w:t>slit</w:t>
      </w:r>
      <w:proofErr w:type="spellEnd"/>
      <w:r w:rsidR="0094405B" w:rsidRPr="0094405B">
        <w:rPr>
          <w:sz w:val="24"/>
          <w:szCs w:val="24"/>
        </w:rPr>
        <w:t xml:space="preserve"> </w:t>
      </w:r>
      <w:proofErr w:type="gramStart"/>
      <w:r w:rsidR="0094405B" w:rsidRPr="0094405B">
        <w:rPr>
          <w:sz w:val="24"/>
          <w:szCs w:val="24"/>
        </w:rPr>
        <w:t>genişlikleri,</w:t>
      </w:r>
      <w:proofErr w:type="gramEnd"/>
      <w:r w:rsidR="0094405B" w:rsidRPr="0094405B">
        <w:rPr>
          <w:sz w:val="24"/>
          <w:szCs w:val="24"/>
        </w:rPr>
        <w:t xml:space="preserve"> ve </w:t>
      </w:r>
      <w:proofErr w:type="spellStart"/>
      <w:r w:rsidR="0094405B" w:rsidRPr="0094405B">
        <w:rPr>
          <w:sz w:val="24"/>
          <w:szCs w:val="24"/>
        </w:rPr>
        <w:t>analitin</w:t>
      </w:r>
      <w:proofErr w:type="spellEnd"/>
      <w:r w:rsidR="0094405B" w:rsidRPr="0094405B">
        <w:rPr>
          <w:sz w:val="24"/>
          <w:szCs w:val="24"/>
        </w:rPr>
        <w:t xml:space="preserve"> konsantrasyonudur. Kaydedici cihazlarda, spektrum kaydedilirken bu değişkenlerin bazıları değişebileceğinden durum daha da karmaşık bir hal alır. Örneğin, </w:t>
      </w:r>
      <w:proofErr w:type="spellStart"/>
      <w:r w:rsidR="0094405B" w:rsidRPr="0094405B">
        <w:rPr>
          <w:sz w:val="24"/>
          <w:szCs w:val="24"/>
        </w:rPr>
        <w:t>infrared</w:t>
      </w:r>
      <w:proofErr w:type="spellEnd"/>
      <w:r w:rsidR="0094405B" w:rsidRPr="0094405B">
        <w:rPr>
          <w:sz w:val="24"/>
          <w:szCs w:val="24"/>
        </w:rPr>
        <w:t xml:space="preserve"> cihazlar, en çok Johnson gürültüsüyle (</w:t>
      </w:r>
      <w:proofErr w:type="spellStart"/>
      <w:r w:rsidR="0094405B" w:rsidRPr="0094405B">
        <w:rPr>
          <w:sz w:val="24"/>
          <w:szCs w:val="24"/>
        </w:rPr>
        <w:t>dedektörlerinden</w:t>
      </w:r>
      <w:proofErr w:type="spellEnd"/>
      <w:r w:rsidR="0094405B" w:rsidRPr="0094405B">
        <w:rPr>
          <w:sz w:val="24"/>
          <w:szCs w:val="24"/>
        </w:rPr>
        <w:t xml:space="preserve"> dolayı) ve hücre yapısı ile sınırlandırılırlar. IR çalışmalarda, ışık yolu çok kısa olan dar hücreler kullanılır. Bu nedenle hücrenin bir kısmındaki örnek kalınlığı, diğer kısımlarındakinden farklı olur. Ayrı- </w:t>
      </w:r>
      <w:proofErr w:type="spellStart"/>
      <w:r w:rsidR="0094405B" w:rsidRPr="0094405B">
        <w:rPr>
          <w:sz w:val="24"/>
          <w:szCs w:val="24"/>
        </w:rPr>
        <w:t>ca</w:t>
      </w:r>
      <w:proofErr w:type="spellEnd"/>
      <w:r w:rsidR="0094405B" w:rsidRPr="0094405B">
        <w:rPr>
          <w:sz w:val="24"/>
          <w:szCs w:val="24"/>
        </w:rPr>
        <w:t xml:space="preserve">, IR hücreler çok kolay bozulur ve atmosferden etkilenirler; yüzeylerin durumuna göre geçirgenlik farklılıklar gösterir. Kaynak </w:t>
      </w:r>
      <w:proofErr w:type="spellStart"/>
      <w:r w:rsidR="0094405B" w:rsidRPr="0094405B">
        <w:rPr>
          <w:sz w:val="24"/>
          <w:szCs w:val="24"/>
        </w:rPr>
        <w:t>Flicker’i</w:t>
      </w:r>
      <w:proofErr w:type="spellEnd"/>
      <w:r w:rsidR="0094405B" w:rsidRPr="0094405B">
        <w:rPr>
          <w:sz w:val="24"/>
          <w:szCs w:val="24"/>
        </w:rPr>
        <w:t xml:space="preserve"> de IR ölçmelerdeki kararsızlığı artırır, fakat Johnson gürültüsü ve hücre kararsızlıklarına göre önemsizdir. Çeşitli UV ve görünür ışık fotometreler ve </w:t>
      </w:r>
      <w:proofErr w:type="spellStart"/>
      <w:r w:rsidR="0094405B" w:rsidRPr="0094405B">
        <w:rPr>
          <w:sz w:val="24"/>
          <w:szCs w:val="24"/>
        </w:rPr>
        <w:t>spektrofotometreler</w:t>
      </w:r>
      <w:proofErr w:type="spellEnd"/>
      <w:r w:rsidR="0094405B" w:rsidRPr="0094405B">
        <w:rPr>
          <w:sz w:val="24"/>
          <w:szCs w:val="24"/>
        </w:rPr>
        <w:t xml:space="preserve"> arasında farklı davranışlar görülür. En kaliteli cihazlardaki sınırlayıcı rasgele hata kaynağı hücre durumundan gelen kararsızlıktır. Bu cihazlarda hücrelerin doldurulup boşaltılma işlemlerinin, hücreyi yerinden çıkarmadan yapılması hatayı azaltan önemli bir önlemdir; yine de, hücre kararsızlığı bu cihazların performansını sınırlar. </w:t>
      </w:r>
    </w:p>
    <w:p w:rsidR="000C4823" w:rsidRPr="007F65BD" w:rsidRDefault="00C44D0A" w:rsidP="007F65BD">
      <w:pPr>
        <w:spacing w:line="276" w:lineRule="auto"/>
        <w:jc w:val="both"/>
        <w:rPr>
          <w:sz w:val="24"/>
          <w:szCs w:val="24"/>
        </w:rPr>
      </w:pPr>
      <w:r>
        <w:rPr>
          <w:sz w:val="24"/>
          <w:szCs w:val="24"/>
        </w:rPr>
        <w:t xml:space="preserve">Spektrum için “ayırma gücü (çözme gücü)” işaretlerin birbirinden ayırt edilebilmesi açısından anlatılacaktır. Bu kapsamda, spektrum alırken seçilecek “yarığın” önemi ayırma gücü ile birlikte şekil üzerinde verilecektir. </w:t>
      </w:r>
      <w:r w:rsidRPr="007F65BD">
        <w:rPr>
          <w:sz w:val="24"/>
          <w:szCs w:val="24"/>
        </w:rPr>
        <w:t>Ayrıca “</w:t>
      </w:r>
      <w:proofErr w:type="spellStart"/>
      <w:r w:rsidRPr="007F65BD">
        <w:rPr>
          <w:sz w:val="24"/>
          <w:szCs w:val="24"/>
        </w:rPr>
        <w:t>Rayleigh</w:t>
      </w:r>
      <w:proofErr w:type="spellEnd"/>
      <w:r w:rsidRPr="007F65BD">
        <w:rPr>
          <w:sz w:val="24"/>
          <w:szCs w:val="24"/>
        </w:rPr>
        <w:t xml:space="preserve"> Kriteri” verilecek ve örnek üzerinde açıklanacaktır.</w:t>
      </w:r>
      <w:r w:rsidR="00CB28F8" w:rsidRPr="007F65BD">
        <w:rPr>
          <w:sz w:val="24"/>
          <w:szCs w:val="24"/>
        </w:rPr>
        <w:t xml:space="preserve"> </w:t>
      </w:r>
      <w:r w:rsidR="007F65BD" w:rsidRPr="007F65BD">
        <w:rPr>
          <w:sz w:val="24"/>
          <w:szCs w:val="24"/>
        </w:rPr>
        <w:t xml:space="preserve">Gözümüzün ve herhangi bir cihazın ayırma gücü, küçük dairesel deliklerdeki kırınım (difraksiyon) ile açıklanmaktadır. Burada </w:t>
      </w:r>
      <w:proofErr w:type="spellStart"/>
      <w:r w:rsidR="007F65BD" w:rsidRPr="007F65BD">
        <w:rPr>
          <w:sz w:val="24"/>
          <w:szCs w:val="24"/>
        </w:rPr>
        <w:t>Rayleigh</w:t>
      </w:r>
      <w:proofErr w:type="spellEnd"/>
      <w:r w:rsidR="007F65BD" w:rsidRPr="007F65BD">
        <w:rPr>
          <w:sz w:val="24"/>
          <w:szCs w:val="24"/>
        </w:rPr>
        <w:t xml:space="preserve"> ayırma </w:t>
      </w:r>
      <w:proofErr w:type="gramStart"/>
      <w:r w:rsidR="007F65BD" w:rsidRPr="007F65BD">
        <w:rPr>
          <w:sz w:val="24"/>
          <w:szCs w:val="24"/>
        </w:rPr>
        <w:t>kriteri</w:t>
      </w:r>
      <w:proofErr w:type="gramEnd"/>
      <w:r w:rsidR="007F65BD" w:rsidRPr="007F65BD">
        <w:rPr>
          <w:sz w:val="24"/>
          <w:szCs w:val="24"/>
        </w:rPr>
        <w:t xml:space="preserve"> (</w:t>
      </w:r>
      <w:proofErr w:type="spellStart"/>
      <w:r w:rsidR="007F65BD" w:rsidRPr="007F65BD">
        <w:rPr>
          <w:sz w:val="24"/>
          <w:szCs w:val="24"/>
        </w:rPr>
        <w:t>Rayleigh’s</w:t>
      </w:r>
      <w:proofErr w:type="spellEnd"/>
      <w:r w:rsidR="007F65BD" w:rsidRPr="007F65BD">
        <w:rPr>
          <w:sz w:val="24"/>
          <w:szCs w:val="24"/>
        </w:rPr>
        <w:t xml:space="preserve"> </w:t>
      </w:r>
      <w:proofErr w:type="spellStart"/>
      <w:r w:rsidR="007F65BD" w:rsidRPr="007F65BD">
        <w:rPr>
          <w:sz w:val="24"/>
          <w:szCs w:val="24"/>
        </w:rPr>
        <w:t>Criterion</w:t>
      </w:r>
      <w:proofErr w:type="spellEnd"/>
      <w:r w:rsidR="007F65BD" w:rsidRPr="007F65BD">
        <w:rPr>
          <w:sz w:val="24"/>
          <w:szCs w:val="24"/>
        </w:rPr>
        <w:t xml:space="preserve">) devreye girer. Bu </w:t>
      </w:r>
      <w:proofErr w:type="gramStart"/>
      <w:r w:rsidR="007F65BD" w:rsidRPr="007F65BD">
        <w:rPr>
          <w:sz w:val="24"/>
          <w:szCs w:val="24"/>
        </w:rPr>
        <w:t>kritere</w:t>
      </w:r>
      <w:proofErr w:type="gramEnd"/>
      <w:r w:rsidR="007F65BD" w:rsidRPr="007F65BD">
        <w:rPr>
          <w:sz w:val="24"/>
          <w:szCs w:val="24"/>
        </w:rPr>
        <w:t xml:space="preserve"> göre, birbirine çok yakın iki noktanın ayrı görülebilmesi için, bu noktalardan gelen ışınlar arasındaki açının (θ ) bir minimum kritik açıdan (</w:t>
      </w:r>
      <w:proofErr w:type="spellStart"/>
      <w:r w:rsidR="007F65BD" w:rsidRPr="007F65BD">
        <w:rPr>
          <w:sz w:val="24"/>
          <w:szCs w:val="24"/>
        </w:rPr>
        <w:t>θ</w:t>
      </w:r>
      <w:r w:rsidR="007F65BD" w:rsidRPr="007F65BD">
        <w:rPr>
          <w:sz w:val="24"/>
          <w:szCs w:val="24"/>
          <w:vertAlign w:val="subscript"/>
        </w:rPr>
        <w:t>k</w:t>
      </w:r>
      <w:proofErr w:type="spellEnd"/>
      <w:r w:rsidR="007F65BD" w:rsidRPr="007F65BD">
        <w:rPr>
          <w:sz w:val="24"/>
          <w:szCs w:val="24"/>
        </w:rPr>
        <w:t>) büyük olması gerekir.</w:t>
      </w:r>
    </w:p>
    <w:p w:rsidR="000C4823" w:rsidRDefault="00C44D0A" w:rsidP="000C4823">
      <w:pPr>
        <w:spacing w:line="276" w:lineRule="auto"/>
        <w:jc w:val="both"/>
        <w:rPr>
          <w:sz w:val="24"/>
          <w:szCs w:val="24"/>
        </w:rPr>
      </w:pPr>
      <w:r>
        <w:rPr>
          <w:sz w:val="24"/>
          <w:szCs w:val="24"/>
        </w:rPr>
        <w:t>Dersin devamında spektrum çizgilerin şiddetine etki eden durumlar anlatılacaktır. Bu kapsamda, “geçiş olasılığı”, “durumların dağılımı”, ve “örnek içinde ışımanın aldığı yol” açılarından detaylı olarak verilecektir. Spektrum çizgilerinin şiddetinden sonra genişliğine etki eden faktörler anlatılacaktır. Bu kapsamda “uyarılmış seviyelerin doğal genişliği”, “çarpışmaların genişlemeye etkisi” ve “</w:t>
      </w:r>
      <w:proofErr w:type="spellStart"/>
      <w:r>
        <w:rPr>
          <w:sz w:val="24"/>
          <w:szCs w:val="24"/>
        </w:rPr>
        <w:t>Doppler</w:t>
      </w:r>
      <w:proofErr w:type="spellEnd"/>
      <w:r>
        <w:rPr>
          <w:sz w:val="24"/>
          <w:szCs w:val="24"/>
        </w:rPr>
        <w:t xml:space="preserve"> olayı” kapsamlı olarak anlatılacaktır. Örnekler verilecektir.</w:t>
      </w:r>
    </w:p>
    <w:p w:rsidR="00C44D0A" w:rsidRDefault="00C44D0A" w:rsidP="000C4823">
      <w:pPr>
        <w:spacing w:line="276" w:lineRule="auto"/>
        <w:jc w:val="both"/>
        <w:rPr>
          <w:sz w:val="24"/>
          <w:szCs w:val="24"/>
        </w:rPr>
      </w:pPr>
      <w:r>
        <w:rPr>
          <w:sz w:val="24"/>
          <w:szCs w:val="24"/>
        </w:rPr>
        <w:t>Böylece bu derste alınan spektrumların doğru olarak analiz edilmesi açısından çok önemli olan faktörler örnekler ve şekiller üzerinde verilecektir.</w:t>
      </w:r>
    </w:p>
    <w:p w:rsidR="00B449FD" w:rsidRDefault="00B449FD" w:rsidP="000C4823">
      <w:pPr>
        <w:spacing w:line="276" w:lineRule="auto"/>
        <w:jc w:val="both"/>
        <w:rPr>
          <w:sz w:val="24"/>
          <w:szCs w:val="24"/>
        </w:rPr>
      </w:pPr>
    </w:p>
    <w:p w:rsidR="00B449FD" w:rsidRDefault="00B449FD" w:rsidP="000C4823">
      <w:pPr>
        <w:spacing w:line="276" w:lineRule="auto"/>
        <w:jc w:val="both"/>
        <w:rPr>
          <w:sz w:val="24"/>
          <w:szCs w:val="24"/>
        </w:rPr>
      </w:pPr>
      <w:r>
        <w:rPr>
          <w:noProof/>
          <w:sz w:val="24"/>
          <w:szCs w:val="24"/>
          <w:lang w:eastAsia="tr-TR"/>
        </w:rPr>
        <w:lastRenderedPageBreak/>
        <w:drawing>
          <wp:inline distT="0" distB="0" distL="0" distR="0" wp14:anchorId="5800C11E">
            <wp:extent cx="4233344" cy="3175155"/>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0580" cy="3180582"/>
                    </a:xfrm>
                    <a:prstGeom prst="rect">
                      <a:avLst/>
                    </a:prstGeom>
                    <a:noFill/>
                  </pic:spPr>
                </pic:pic>
              </a:graphicData>
            </a:graphic>
          </wp:inline>
        </w:drawing>
      </w:r>
    </w:p>
    <w:p w:rsidR="00894450" w:rsidRDefault="00C44D0A" w:rsidP="000C4823">
      <w:pPr>
        <w:spacing w:line="276" w:lineRule="auto"/>
        <w:jc w:val="both"/>
        <w:rPr>
          <w:sz w:val="24"/>
          <w:szCs w:val="24"/>
        </w:rPr>
      </w:pPr>
      <w:bookmarkStart w:id="0" w:name="_GoBack"/>
      <w:bookmarkEnd w:id="0"/>
      <w:r>
        <w:rPr>
          <w:sz w:val="24"/>
          <w:szCs w:val="24"/>
        </w:rPr>
        <w:lastRenderedPageBreak/>
        <w:t xml:space="preserve">Dersin devamında “enerjinin </w:t>
      </w:r>
      <w:proofErr w:type="spellStart"/>
      <w:r>
        <w:rPr>
          <w:sz w:val="24"/>
          <w:szCs w:val="24"/>
        </w:rPr>
        <w:t>kuantumlanması</w:t>
      </w:r>
      <w:proofErr w:type="spellEnd"/>
      <w:r>
        <w:rPr>
          <w:sz w:val="24"/>
          <w:szCs w:val="24"/>
        </w:rPr>
        <w:t>” kavramı spektral an</w:t>
      </w:r>
      <w:r w:rsidR="00DB3685">
        <w:rPr>
          <w:sz w:val="24"/>
          <w:szCs w:val="24"/>
        </w:rPr>
        <w:t>a</w:t>
      </w:r>
      <w:r>
        <w:rPr>
          <w:sz w:val="24"/>
          <w:szCs w:val="24"/>
        </w:rPr>
        <w:t xml:space="preserve">liz çerçevesinde anlatılacaktır. Böylece uyarılmış düzey belirsizliği öğrencilere verilecektir. </w:t>
      </w:r>
      <w:r w:rsidR="00894450">
        <w:rPr>
          <w:noProof/>
          <w:sz w:val="24"/>
          <w:szCs w:val="24"/>
          <w:lang w:eastAsia="tr-TR"/>
        </w:rPr>
        <w:drawing>
          <wp:inline distT="0" distB="0" distL="0" distR="0">
            <wp:extent cx="7680960" cy="5760720"/>
            <wp:effectExtent l="7620" t="0" r="3810"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710.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rsidR="00CB28F8" w:rsidRDefault="00DB3685" w:rsidP="00CB28F8">
      <w:pPr>
        <w:spacing w:line="276" w:lineRule="auto"/>
        <w:jc w:val="both"/>
        <w:rPr>
          <w:sz w:val="24"/>
          <w:szCs w:val="24"/>
        </w:rPr>
      </w:pPr>
      <w:r w:rsidRPr="00DB3685">
        <w:rPr>
          <w:bCs/>
          <w:sz w:val="24"/>
          <w:szCs w:val="24"/>
        </w:rPr>
        <w:t xml:space="preserve">Örnek içerisinde ışığın aldığı yol nedeniyle soğrulması </w:t>
      </w:r>
      <w:r w:rsidR="00CB28F8" w:rsidRPr="00DB3685">
        <w:rPr>
          <w:bCs/>
          <w:sz w:val="24"/>
          <w:szCs w:val="24"/>
        </w:rPr>
        <w:t>Lambert-</w:t>
      </w:r>
      <w:proofErr w:type="spellStart"/>
      <w:r w:rsidR="00CB28F8" w:rsidRPr="00DB3685">
        <w:rPr>
          <w:bCs/>
          <w:sz w:val="24"/>
          <w:szCs w:val="24"/>
        </w:rPr>
        <w:t>Beer</w:t>
      </w:r>
      <w:proofErr w:type="spellEnd"/>
      <w:r w:rsidR="00CB28F8" w:rsidRPr="00DB3685">
        <w:rPr>
          <w:bCs/>
          <w:sz w:val="24"/>
          <w:szCs w:val="24"/>
        </w:rPr>
        <w:t xml:space="preserve"> Yasası </w:t>
      </w:r>
      <w:r w:rsidRPr="00DB3685">
        <w:rPr>
          <w:bCs/>
          <w:sz w:val="24"/>
          <w:szCs w:val="24"/>
        </w:rPr>
        <w:t>ile verilir. I</w:t>
      </w:r>
      <w:r w:rsidR="00CB28F8" w:rsidRPr="00CB28F8">
        <w:rPr>
          <w:sz w:val="24"/>
          <w:szCs w:val="24"/>
        </w:rPr>
        <w:t xml:space="preserve">şımanın soğurulma miktarı soğurucunun miktarıyla doğru orantılıyken, ışımanın şiddetinden bağımsızdır. Soğurucu ortamın çözelti olması durumunda soğurma miktarı ışıma yoluna ve </w:t>
      </w:r>
      <w:r w:rsidR="00CB28F8" w:rsidRPr="00CB28F8">
        <w:rPr>
          <w:sz w:val="24"/>
          <w:szCs w:val="24"/>
        </w:rPr>
        <w:lastRenderedPageBreak/>
        <w:t xml:space="preserve">çözelti </w:t>
      </w:r>
      <w:proofErr w:type="spellStart"/>
      <w:r w:rsidR="00CB28F8" w:rsidRPr="00CB28F8">
        <w:rPr>
          <w:sz w:val="24"/>
          <w:szCs w:val="24"/>
        </w:rPr>
        <w:t>derişimine</w:t>
      </w:r>
      <w:proofErr w:type="spellEnd"/>
      <w:r w:rsidR="00CB28F8" w:rsidRPr="00CB28F8">
        <w:rPr>
          <w:sz w:val="24"/>
          <w:szCs w:val="24"/>
        </w:rPr>
        <w:t xml:space="preserve"> bağlı olur. Maddenin ışığı soğurma (</w:t>
      </w:r>
      <w:proofErr w:type="spellStart"/>
      <w:r w:rsidR="00CB28F8" w:rsidRPr="00CB28F8">
        <w:rPr>
          <w:sz w:val="24"/>
          <w:szCs w:val="24"/>
        </w:rPr>
        <w:t>absorplama</w:t>
      </w:r>
      <w:proofErr w:type="spellEnd"/>
      <w:r w:rsidR="00CB28F8" w:rsidRPr="00CB28F8">
        <w:rPr>
          <w:sz w:val="24"/>
          <w:szCs w:val="24"/>
        </w:rPr>
        <w:t xml:space="preserve">) derecesini ölçmek ve bundan yararlanarak derişimi saptamak için, soğurma ile derişim arasındaki ilişki bilinmelidir. Monokromatik (tek </w:t>
      </w:r>
      <w:proofErr w:type="spellStart"/>
      <w:r w:rsidR="00CB28F8" w:rsidRPr="00CB28F8">
        <w:rPr>
          <w:sz w:val="24"/>
          <w:szCs w:val="24"/>
        </w:rPr>
        <w:t>dalgaboylu</w:t>
      </w:r>
      <w:proofErr w:type="spellEnd"/>
      <w:r w:rsidR="00CB28F8" w:rsidRPr="00CB28F8">
        <w:rPr>
          <w:sz w:val="24"/>
          <w:szCs w:val="24"/>
        </w:rPr>
        <w:t xml:space="preserve"> ışıma) ve I</w:t>
      </w:r>
      <w:r w:rsidR="00CB28F8" w:rsidRPr="00CB28F8">
        <w:rPr>
          <w:sz w:val="24"/>
          <w:szCs w:val="24"/>
          <w:vertAlign w:val="subscript"/>
        </w:rPr>
        <w:t>0</w:t>
      </w:r>
      <w:r w:rsidR="00CB28F8" w:rsidRPr="00CB28F8">
        <w:rPr>
          <w:sz w:val="24"/>
          <w:szCs w:val="24"/>
        </w:rPr>
        <w:t xml:space="preserve"> şiddetindeki bir ışık demeti, kalınlığı b cm olan bir tüpte bulunan çözeltideki herhangi bir molekül tarafından </w:t>
      </w:r>
      <w:proofErr w:type="spellStart"/>
      <w:r w:rsidR="00CB28F8" w:rsidRPr="00CB28F8">
        <w:rPr>
          <w:sz w:val="24"/>
          <w:szCs w:val="24"/>
        </w:rPr>
        <w:t>absorplandığında</w:t>
      </w:r>
      <w:proofErr w:type="spellEnd"/>
      <w:r w:rsidR="00CB28F8" w:rsidRPr="00CB28F8">
        <w:rPr>
          <w:sz w:val="24"/>
          <w:szCs w:val="24"/>
        </w:rPr>
        <w:t xml:space="preserve"> şiddeti azalır ve tüpü I şiddetinde </w:t>
      </w:r>
      <w:proofErr w:type="spellStart"/>
      <w:r w:rsidR="00CB28F8" w:rsidRPr="00CB28F8">
        <w:rPr>
          <w:sz w:val="24"/>
          <w:szCs w:val="24"/>
        </w:rPr>
        <w:t>terkeder</w:t>
      </w:r>
      <w:proofErr w:type="spellEnd"/>
      <w:r w:rsidR="00CB28F8" w:rsidRPr="00CB28F8">
        <w:rPr>
          <w:sz w:val="24"/>
          <w:szCs w:val="24"/>
        </w:rPr>
        <w:t xml:space="preserve">. Moleküllerin seçilen dalga boyundaki ışımayı </w:t>
      </w:r>
      <w:proofErr w:type="spellStart"/>
      <w:r w:rsidR="00CB28F8" w:rsidRPr="00CB28F8">
        <w:rPr>
          <w:sz w:val="24"/>
          <w:szCs w:val="24"/>
        </w:rPr>
        <w:t>absorplaması</w:t>
      </w:r>
      <w:proofErr w:type="spellEnd"/>
      <w:r w:rsidR="00CB28F8" w:rsidRPr="00CB28F8">
        <w:rPr>
          <w:sz w:val="24"/>
          <w:szCs w:val="24"/>
        </w:rPr>
        <w:t xml:space="preserve"> sonucu ortaya çıkan azalma Lambert-</w:t>
      </w:r>
      <w:proofErr w:type="spellStart"/>
      <w:r w:rsidR="00CB28F8" w:rsidRPr="00CB28F8">
        <w:rPr>
          <w:sz w:val="24"/>
          <w:szCs w:val="24"/>
        </w:rPr>
        <w:t>Beer</w:t>
      </w:r>
      <w:proofErr w:type="spellEnd"/>
      <w:r w:rsidR="00CB28F8" w:rsidRPr="00CB28F8">
        <w:rPr>
          <w:sz w:val="24"/>
          <w:szCs w:val="24"/>
        </w:rPr>
        <w:t xml:space="preserve"> eşitliği ile verilir: Bir çözeltiden geçen ışık miktarı, ışığın çözelti içinde kat ettiği yol ve çözelti </w:t>
      </w:r>
      <w:proofErr w:type="gramStart"/>
      <w:r w:rsidR="00CB28F8" w:rsidRPr="00CB28F8">
        <w:rPr>
          <w:sz w:val="24"/>
          <w:szCs w:val="24"/>
        </w:rPr>
        <w:t>konsantrasyonu</w:t>
      </w:r>
      <w:proofErr w:type="gramEnd"/>
      <w:r w:rsidR="00CB28F8" w:rsidRPr="00CB28F8">
        <w:rPr>
          <w:sz w:val="24"/>
          <w:szCs w:val="24"/>
        </w:rPr>
        <w:t xml:space="preserve"> ile logaritmik olarak ters orantılı, emilen </w:t>
      </w:r>
      <w:r w:rsidR="00CB28F8">
        <w:rPr>
          <w:sz w:val="24"/>
          <w:szCs w:val="24"/>
        </w:rPr>
        <w:t>ışık miktarı ile doğru orantılıdır.</w:t>
      </w:r>
    </w:p>
    <w:p w:rsidR="00CB28F8" w:rsidRDefault="00CB28F8" w:rsidP="00CB28F8">
      <w:pPr>
        <w:spacing w:line="276" w:lineRule="auto"/>
        <w:jc w:val="both"/>
        <w:rPr>
          <w:sz w:val="24"/>
          <w:szCs w:val="24"/>
        </w:rPr>
      </w:pPr>
      <w:r>
        <w:rPr>
          <w:noProof/>
          <w:sz w:val="24"/>
          <w:szCs w:val="24"/>
          <w:lang w:eastAsia="tr-TR"/>
        </w:rPr>
        <w:drawing>
          <wp:inline distT="0" distB="0" distL="0" distR="0">
            <wp:extent cx="5760720" cy="4320540"/>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70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CB28F8" w:rsidRPr="00CB28F8" w:rsidRDefault="00CB28F8" w:rsidP="00CB28F8">
      <w:pPr>
        <w:spacing w:line="276" w:lineRule="auto"/>
        <w:jc w:val="both"/>
        <w:rPr>
          <w:sz w:val="24"/>
          <w:szCs w:val="24"/>
        </w:rPr>
      </w:pPr>
    </w:p>
    <w:p w:rsidR="00CB28F8" w:rsidRPr="00CB28F8" w:rsidRDefault="00CB28F8" w:rsidP="00CB28F8">
      <w:pPr>
        <w:spacing w:line="276" w:lineRule="auto"/>
        <w:jc w:val="both"/>
        <w:rPr>
          <w:sz w:val="24"/>
          <w:szCs w:val="24"/>
        </w:rPr>
      </w:pPr>
      <w:r w:rsidRPr="00CB28F8">
        <w:rPr>
          <w:b/>
          <w:bCs/>
          <w:sz w:val="24"/>
          <w:szCs w:val="24"/>
        </w:rPr>
        <w:t>Şekil  1: </w:t>
      </w:r>
      <w:r w:rsidRPr="00CB28F8">
        <w:rPr>
          <w:sz w:val="24"/>
          <w:szCs w:val="24"/>
        </w:rPr>
        <w:t>Küvete Giren (I</w:t>
      </w:r>
      <w:r w:rsidRPr="00CB28F8">
        <w:rPr>
          <w:sz w:val="24"/>
          <w:szCs w:val="24"/>
          <w:vertAlign w:val="subscript"/>
        </w:rPr>
        <w:t>0</w:t>
      </w:r>
      <w:r w:rsidRPr="00CB28F8">
        <w:rPr>
          <w:sz w:val="24"/>
          <w:szCs w:val="24"/>
        </w:rPr>
        <w:t>) ve Çıkan Işın (I)</w:t>
      </w:r>
    </w:p>
    <w:p w:rsidR="00CB28F8" w:rsidRPr="00CB28F8" w:rsidRDefault="00CB28F8" w:rsidP="00CB28F8">
      <w:pPr>
        <w:spacing w:line="276" w:lineRule="auto"/>
        <w:jc w:val="both"/>
        <w:rPr>
          <w:sz w:val="24"/>
          <w:szCs w:val="24"/>
        </w:rPr>
      </w:pPr>
      <w:proofErr w:type="spellStart"/>
      <w:r w:rsidRPr="00CB28F8">
        <w:rPr>
          <w:b/>
          <w:bCs/>
          <w:sz w:val="24"/>
          <w:szCs w:val="24"/>
        </w:rPr>
        <w:t>log</w:t>
      </w:r>
      <w:proofErr w:type="spellEnd"/>
      <w:r w:rsidRPr="00CB28F8">
        <w:rPr>
          <w:b/>
          <w:bCs/>
          <w:sz w:val="24"/>
          <w:szCs w:val="24"/>
        </w:rPr>
        <w:t xml:space="preserve"> I</w:t>
      </w:r>
      <w:r w:rsidRPr="00CB28F8">
        <w:rPr>
          <w:b/>
          <w:bCs/>
          <w:sz w:val="24"/>
          <w:szCs w:val="24"/>
          <w:vertAlign w:val="subscript"/>
        </w:rPr>
        <w:t>0</w:t>
      </w:r>
      <w:r w:rsidRPr="00CB28F8">
        <w:rPr>
          <w:b/>
          <w:bCs/>
          <w:sz w:val="24"/>
          <w:szCs w:val="24"/>
        </w:rPr>
        <w:t>/I = </w:t>
      </w:r>
      <w:proofErr w:type="spellStart"/>
      <w:r w:rsidRPr="00CB28F8">
        <w:rPr>
          <w:b/>
          <w:bCs/>
          <w:sz w:val="24"/>
          <w:szCs w:val="24"/>
        </w:rPr>
        <w:t>εlc</w:t>
      </w:r>
      <w:proofErr w:type="spellEnd"/>
      <w:r w:rsidRPr="00CB28F8">
        <w:rPr>
          <w:b/>
          <w:bCs/>
          <w:sz w:val="24"/>
          <w:szCs w:val="24"/>
        </w:rPr>
        <w:t> = A</w:t>
      </w:r>
    </w:p>
    <w:p w:rsidR="00CB28F8" w:rsidRPr="00CB28F8" w:rsidRDefault="00CB28F8" w:rsidP="00CB28F8">
      <w:pPr>
        <w:spacing w:line="276" w:lineRule="auto"/>
        <w:jc w:val="both"/>
        <w:rPr>
          <w:sz w:val="24"/>
          <w:szCs w:val="24"/>
        </w:rPr>
      </w:pPr>
      <w:r w:rsidRPr="00CB28F8">
        <w:rPr>
          <w:sz w:val="24"/>
          <w:szCs w:val="24"/>
        </w:rPr>
        <w:t>I</w:t>
      </w:r>
      <w:r w:rsidRPr="00CB28F8">
        <w:rPr>
          <w:sz w:val="24"/>
          <w:szCs w:val="24"/>
          <w:vertAlign w:val="subscript"/>
        </w:rPr>
        <w:t>0</w:t>
      </w:r>
      <w:r w:rsidRPr="00CB28F8">
        <w:rPr>
          <w:sz w:val="24"/>
          <w:szCs w:val="24"/>
        </w:rPr>
        <w:t>: Örnek kabına giren ışık şiddeti,</w:t>
      </w:r>
    </w:p>
    <w:p w:rsidR="00CB28F8" w:rsidRPr="00CB28F8" w:rsidRDefault="00CB28F8" w:rsidP="00CB28F8">
      <w:pPr>
        <w:spacing w:line="276" w:lineRule="auto"/>
        <w:jc w:val="both"/>
        <w:rPr>
          <w:sz w:val="24"/>
          <w:szCs w:val="24"/>
        </w:rPr>
      </w:pPr>
      <w:r w:rsidRPr="00CB28F8">
        <w:rPr>
          <w:sz w:val="24"/>
          <w:szCs w:val="24"/>
        </w:rPr>
        <w:t>I: Örnek kabını terk eden ışık şiddeti</w:t>
      </w:r>
    </w:p>
    <w:p w:rsidR="00CB28F8" w:rsidRPr="00CB28F8" w:rsidRDefault="00CB28F8" w:rsidP="00CB28F8">
      <w:pPr>
        <w:spacing w:line="276" w:lineRule="auto"/>
        <w:jc w:val="both"/>
        <w:rPr>
          <w:sz w:val="24"/>
          <w:szCs w:val="24"/>
        </w:rPr>
      </w:pPr>
      <w:r w:rsidRPr="00CB28F8">
        <w:rPr>
          <w:sz w:val="24"/>
          <w:szCs w:val="24"/>
        </w:rPr>
        <w:t>ε: </w:t>
      </w:r>
      <w:proofErr w:type="spellStart"/>
      <w:r w:rsidRPr="00CB28F8">
        <w:rPr>
          <w:sz w:val="24"/>
          <w:szCs w:val="24"/>
        </w:rPr>
        <w:t>Molar</w:t>
      </w:r>
      <w:proofErr w:type="spellEnd"/>
      <w:r w:rsidRPr="00CB28F8">
        <w:rPr>
          <w:sz w:val="24"/>
          <w:szCs w:val="24"/>
        </w:rPr>
        <w:t xml:space="preserve"> </w:t>
      </w:r>
      <w:proofErr w:type="spellStart"/>
      <w:r w:rsidRPr="00CB28F8">
        <w:rPr>
          <w:sz w:val="24"/>
          <w:szCs w:val="24"/>
        </w:rPr>
        <w:t>absorpsiyon</w:t>
      </w:r>
      <w:proofErr w:type="spellEnd"/>
      <w:r w:rsidRPr="00CB28F8">
        <w:rPr>
          <w:sz w:val="24"/>
          <w:szCs w:val="24"/>
        </w:rPr>
        <w:t xml:space="preserve"> katsayısı – </w:t>
      </w:r>
      <w:proofErr w:type="spellStart"/>
      <w:r w:rsidRPr="00CB28F8">
        <w:rPr>
          <w:sz w:val="24"/>
          <w:szCs w:val="24"/>
        </w:rPr>
        <w:t>molar</w:t>
      </w:r>
      <w:proofErr w:type="spellEnd"/>
      <w:r w:rsidRPr="00CB28F8">
        <w:rPr>
          <w:sz w:val="24"/>
          <w:szCs w:val="24"/>
        </w:rPr>
        <w:t xml:space="preserve"> </w:t>
      </w:r>
      <w:proofErr w:type="spellStart"/>
      <w:r w:rsidRPr="00CB28F8">
        <w:rPr>
          <w:sz w:val="24"/>
          <w:szCs w:val="24"/>
        </w:rPr>
        <w:t>soğuruculuk</w:t>
      </w:r>
      <w:proofErr w:type="spellEnd"/>
      <w:r w:rsidRPr="00CB28F8">
        <w:rPr>
          <w:sz w:val="24"/>
          <w:szCs w:val="24"/>
        </w:rPr>
        <w:t xml:space="preserve"> (L / </w:t>
      </w:r>
      <w:proofErr w:type="gramStart"/>
      <w:r w:rsidRPr="00CB28F8">
        <w:rPr>
          <w:sz w:val="24"/>
          <w:szCs w:val="24"/>
        </w:rPr>
        <w:t>mol.cm</w:t>
      </w:r>
      <w:proofErr w:type="gramEnd"/>
      <w:r w:rsidRPr="00CB28F8">
        <w:rPr>
          <w:sz w:val="24"/>
          <w:szCs w:val="24"/>
        </w:rPr>
        <w:t>)</w:t>
      </w:r>
    </w:p>
    <w:p w:rsidR="00CB28F8" w:rsidRPr="00CB28F8" w:rsidRDefault="00CB28F8" w:rsidP="00CB28F8">
      <w:pPr>
        <w:spacing w:line="276" w:lineRule="auto"/>
        <w:jc w:val="both"/>
        <w:rPr>
          <w:sz w:val="24"/>
          <w:szCs w:val="24"/>
        </w:rPr>
      </w:pPr>
      <w:proofErr w:type="gramStart"/>
      <w:r w:rsidRPr="00CB28F8">
        <w:rPr>
          <w:sz w:val="24"/>
          <w:szCs w:val="24"/>
        </w:rPr>
        <w:t>l</w:t>
      </w:r>
      <w:proofErr w:type="gramEnd"/>
      <w:r w:rsidRPr="00CB28F8">
        <w:rPr>
          <w:sz w:val="24"/>
          <w:szCs w:val="24"/>
        </w:rPr>
        <w:t>: Örnek kabının kalınlığı – ışığın çözelti içinde kat ettiği yol  (cm)</w:t>
      </w:r>
    </w:p>
    <w:p w:rsidR="00CB28F8" w:rsidRPr="00CB28F8" w:rsidRDefault="00CB28F8" w:rsidP="00CB28F8">
      <w:pPr>
        <w:spacing w:line="276" w:lineRule="auto"/>
        <w:jc w:val="both"/>
        <w:rPr>
          <w:sz w:val="24"/>
          <w:szCs w:val="24"/>
        </w:rPr>
      </w:pPr>
      <w:proofErr w:type="gramStart"/>
      <w:r w:rsidRPr="00CB28F8">
        <w:rPr>
          <w:sz w:val="24"/>
          <w:szCs w:val="24"/>
        </w:rPr>
        <w:t>c</w:t>
      </w:r>
      <w:proofErr w:type="gramEnd"/>
      <w:r w:rsidRPr="00CB28F8">
        <w:rPr>
          <w:sz w:val="24"/>
          <w:szCs w:val="24"/>
        </w:rPr>
        <w:t xml:space="preserve">: Çözeltinin </w:t>
      </w:r>
      <w:proofErr w:type="spellStart"/>
      <w:r w:rsidRPr="00CB28F8">
        <w:rPr>
          <w:sz w:val="24"/>
          <w:szCs w:val="24"/>
        </w:rPr>
        <w:t>molar</w:t>
      </w:r>
      <w:proofErr w:type="spellEnd"/>
      <w:r w:rsidRPr="00CB28F8">
        <w:rPr>
          <w:sz w:val="24"/>
          <w:szCs w:val="24"/>
        </w:rPr>
        <w:t xml:space="preserve"> derişimi (</w:t>
      </w:r>
      <w:proofErr w:type="spellStart"/>
      <w:r w:rsidRPr="00CB28F8">
        <w:rPr>
          <w:sz w:val="24"/>
          <w:szCs w:val="24"/>
        </w:rPr>
        <w:t>mol</w:t>
      </w:r>
      <w:proofErr w:type="spellEnd"/>
      <w:r w:rsidRPr="00CB28F8">
        <w:rPr>
          <w:sz w:val="24"/>
          <w:szCs w:val="24"/>
        </w:rPr>
        <w:t xml:space="preserve"> / L ),</w:t>
      </w:r>
    </w:p>
    <w:p w:rsidR="00CB28F8" w:rsidRPr="00CB28F8" w:rsidRDefault="00CB28F8" w:rsidP="00CB28F8">
      <w:pPr>
        <w:spacing w:line="276" w:lineRule="auto"/>
        <w:jc w:val="both"/>
        <w:rPr>
          <w:sz w:val="24"/>
          <w:szCs w:val="24"/>
        </w:rPr>
      </w:pPr>
      <w:r w:rsidRPr="00CB28F8">
        <w:rPr>
          <w:sz w:val="24"/>
          <w:szCs w:val="24"/>
        </w:rPr>
        <w:lastRenderedPageBreak/>
        <w:t>A: </w:t>
      </w:r>
      <w:proofErr w:type="spellStart"/>
      <w:r w:rsidRPr="00CB28F8">
        <w:rPr>
          <w:sz w:val="24"/>
          <w:szCs w:val="24"/>
        </w:rPr>
        <w:t>Absorbans-soğurganlık</w:t>
      </w:r>
      <w:proofErr w:type="spellEnd"/>
    </w:p>
    <w:p w:rsidR="00CB28F8" w:rsidRPr="00CB28F8" w:rsidRDefault="00CB28F8" w:rsidP="00CB28F8">
      <w:pPr>
        <w:spacing w:line="276" w:lineRule="auto"/>
        <w:jc w:val="both"/>
        <w:rPr>
          <w:sz w:val="24"/>
          <w:szCs w:val="24"/>
        </w:rPr>
      </w:pPr>
      <w:r w:rsidRPr="00CB28F8">
        <w:rPr>
          <w:sz w:val="24"/>
          <w:szCs w:val="24"/>
        </w:rPr>
        <w:t>Örnek kabını terk eden ve kaba giren ışık şiddetleri arasındaki orana geçirgenlik (T) denir.</w:t>
      </w:r>
    </w:p>
    <w:p w:rsidR="00CB28F8" w:rsidRPr="00CB28F8" w:rsidRDefault="00CB28F8" w:rsidP="00CB28F8">
      <w:pPr>
        <w:spacing w:line="276" w:lineRule="auto"/>
        <w:jc w:val="both"/>
        <w:rPr>
          <w:sz w:val="24"/>
          <w:szCs w:val="24"/>
        </w:rPr>
      </w:pPr>
      <w:r w:rsidRPr="00CB28F8">
        <w:rPr>
          <w:sz w:val="24"/>
          <w:szCs w:val="24"/>
        </w:rPr>
        <w:t xml:space="preserve">I / </w:t>
      </w:r>
      <w:proofErr w:type="spellStart"/>
      <w:r w:rsidRPr="00CB28F8">
        <w:rPr>
          <w:sz w:val="24"/>
          <w:szCs w:val="24"/>
        </w:rPr>
        <w:t>Io</w:t>
      </w:r>
      <w:proofErr w:type="spellEnd"/>
      <w:r w:rsidRPr="00CB28F8">
        <w:rPr>
          <w:sz w:val="24"/>
          <w:szCs w:val="24"/>
        </w:rPr>
        <w:t xml:space="preserve"> = T = 10 </w:t>
      </w:r>
      <w:r w:rsidRPr="00CB28F8">
        <w:rPr>
          <w:sz w:val="24"/>
          <w:szCs w:val="24"/>
          <w:vertAlign w:val="superscript"/>
        </w:rPr>
        <w:t>-</w:t>
      </w:r>
      <w:proofErr w:type="spellStart"/>
      <w:r w:rsidRPr="00CB28F8">
        <w:rPr>
          <w:sz w:val="24"/>
          <w:szCs w:val="24"/>
          <w:vertAlign w:val="superscript"/>
        </w:rPr>
        <w:t>εlc</w:t>
      </w:r>
      <w:proofErr w:type="spellEnd"/>
    </w:p>
    <w:p w:rsidR="00CB28F8" w:rsidRPr="00CB28F8" w:rsidRDefault="00CB28F8" w:rsidP="00CB28F8">
      <w:pPr>
        <w:spacing w:line="276" w:lineRule="auto"/>
        <w:jc w:val="both"/>
        <w:rPr>
          <w:sz w:val="24"/>
          <w:szCs w:val="24"/>
        </w:rPr>
      </w:pPr>
      <w:proofErr w:type="spellStart"/>
      <w:r w:rsidRPr="00CB28F8">
        <w:rPr>
          <w:sz w:val="24"/>
          <w:szCs w:val="24"/>
        </w:rPr>
        <w:t>Absorbans</w:t>
      </w:r>
      <w:proofErr w:type="spellEnd"/>
      <w:r w:rsidRPr="00CB28F8">
        <w:rPr>
          <w:sz w:val="24"/>
          <w:szCs w:val="24"/>
        </w:rPr>
        <w:t xml:space="preserve"> ile geçirgenlik arasında,</w:t>
      </w:r>
    </w:p>
    <w:p w:rsidR="00CB28F8" w:rsidRPr="00CB28F8" w:rsidRDefault="00CB28F8" w:rsidP="00CB28F8">
      <w:pPr>
        <w:spacing w:line="276" w:lineRule="auto"/>
        <w:jc w:val="both"/>
        <w:rPr>
          <w:sz w:val="24"/>
          <w:szCs w:val="24"/>
        </w:rPr>
      </w:pPr>
      <w:r w:rsidRPr="00CB28F8">
        <w:rPr>
          <w:sz w:val="24"/>
          <w:szCs w:val="24"/>
        </w:rPr>
        <w:t xml:space="preserve">A = – </w:t>
      </w:r>
      <w:proofErr w:type="spellStart"/>
      <w:r w:rsidRPr="00CB28F8">
        <w:rPr>
          <w:sz w:val="24"/>
          <w:szCs w:val="24"/>
        </w:rPr>
        <w:t>log</w:t>
      </w:r>
      <w:proofErr w:type="spellEnd"/>
      <w:r w:rsidRPr="00CB28F8">
        <w:rPr>
          <w:sz w:val="24"/>
          <w:szCs w:val="24"/>
        </w:rPr>
        <w:t xml:space="preserve"> T = 2 – </w:t>
      </w:r>
      <w:proofErr w:type="spellStart"/>
      <w:r w:rsidRPr="00CB28F8">
        <w:rPr>
          <w:sz w:val="24"/>
          <w:szCs w:val="24"/>
        </w:rPr>
        <w:t>log</w:t>
      </w:r>
      <w:proofErr w:type="spellEnd"/>
      <w:r w:rsidRPr="00CB28F8">
        <w:rPr>
          <w:sz w:val="24"/>
          <w:szCs w:val="24"/>
        </w:rPr>
        <w:t xml:space="preserve"> % T   </w:t>
      </w:r>
    </w:p>
    <w:p w:rsidR="00CB28F8" w:rsidRPr="00CB28F8" w:rsidRDefault="00CB28F8" w:rsidP="00CB28F8">
      <w:pPr>
        <w:spacing w:line="276" w:lineRule="auto"/>
        <w:jc w:val="both"/>
        <w:rPr>
          <w:sz w:val="24"/>
          <w:szCs w:val="24"/>
        </w:rPr>
      </w:pPr>
      <w:proofErr w:type="gramStart"/>
      <w:r w:rsidRPr="00CB28F8">
        <w:rPr>
          <w:sz w:val="24"/>
          <w:szCs w:val="24"/>
        </w:rPr>
        <w:t>ilişkisi</w:t>
      </w:r>
      <w:proofErr w:type="gramEnd"/>
      <w:r w:rsidRPr="00CB28F8">
        <w:rPr>
          <w:sz w:val="24"/>
          <w:szCs w:val="24"/>
        </w:rPr>
        <w:t xml:space="preserve"> vardır ve  %T, yüzde geçirgenlik adını alır.</w:t>
      </w:r>
    </w:p>
    <w:p w:rsidR="00CB28F8" w:rsidRDefault="00CB28F8" w:rsidP="000C4823">
      <w:pPr>
        <w:spacing w:line="276" w:lineRule="auto"/>
        <w:jc w:val="both"/>
        <w:rPr>
          <w:sz w:val="24"/>
          <w:szCs w:val="24"/>
        </w:rPr>
      </w:pPr>
    </w:p>
    <w:p w:rsidR="005373AC" w:rsidRDefault="005373AC" w:rsidP="000C4823">
      <w:pPr>
        <w:spacing w:line="276" w:lineRule="auto"/>
        <w:jc w:val="both"/>
        <w:rPr>
          <w:sz w:val="24"/>
          <w:szCs w:val="24"/>
        </w:rPr>
      </w:pPr>
      <w:r>
        <w:rPr>
          <w:sz w:val="24"/>
          <w:szCs w:val="24"/>
        </w:rPr>
        <w:t>Bu ders kapsamında, tüm spektroskopi çeşitlerinde önemli olan spektral çizgilerin şiddeti, genişliği gibi kavramlar ayrıntılı olarak örneklerle anlatılacaktır.</w:t>
      </w:r>
    </w:p>
    <w:p w:rsidR="005373AC" w:rsidRDefault="005373AC" w:rsidP="000C4823">
      <w:pPr>
        <w:spacing w:line="276" w:lineRule="auto"/>
        <w:jc w:val="both"/>
        <w:rPr>
          <w:sz w:val="24"/>
          <w:szCs w:val="24"/>
        </w:rPr>
      </w:pPr>
    </w:p>
    <w:p w:rsidR="002F7456" w:rsidRDefault="00B522A1" w:rsidP="000C4823">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0C4823">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B92"/>
    <w:multiLevelType w:val="hybridMultilevel"/>
    <w:tmpl w:val="99E8C9AE"/>
    <w:lvl w:ilvl="0" w:tplc="36ACAB7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E77BF"/>
    <w:multiLevelType w:val="hybridMultilevel"/>
    <w:tmpl w:val="DA0A43EC"/>
    <w:lvl w:ilvl="0" w:tplc="E548BBF2">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0C4823"/>
    <w:rsid w:val="002F7456"/>
    <w:rsid w:val="005373AC"/>
    <w:rsid w:val="0077701A"/>
    <w:rsid w:val="007F65BD"/>
    <w:rsid w:val="0081212D"/>
    <w:rsid w:val="00894450"/>
    <w:rsid w:val="0094405B"/>
    <w:rsid w:val="00B449FD"/>
    <w:rsid w:val="00B522A1"/>
    <w:rsid w:val="00C44D0A"/>
    <w:rsid w:val="00CB28F8"/>
    <w:rsid w:val="00DB3685"/>
    <w:rsid w:val="00EB62B6"/>
    <w:rsid w:val="00F541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278E"/>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920411975">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5</Pages>
  <Words>760</Words>
  <Characters>4335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6</cp:revision>
  <dcterms:created xsi:type="dcterms:W3CDTF">2018-02-23T06:25:00Z</dcterms:created>
  <dcterms:modified xsi:type="dcterms:W3CDTF">2018-02-28T14:03:00Z</dcterms:modified>
</cp:coreProperties>
</file>