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Mourir de chaud, un risque pour 30 % de la population mondiale</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Alors qu’une partie de la </w:t>
      </w:r>
      <w:hyperlink r:id="rId5" w:tooltip="Toute l’actualité France" w:history="1">
        <w:r w:rsidRPr="00E10160">
          <w:rPr>
            <w:rStyle w:val="Kpr"/>
            <w:rFonts w:ascii="Times New Roman" w:hAnsi="Times New Roman" w:cs="Times New Roman"/>
            <w:sz w:val="28"/>
            <w:szCs w:val="28"/>
          </w:rPr>
          <w:t>France</w:t>
        </w:r>
      </w:hyperlink>
      <w:r w:rsidRPr="00E10160">
        <w:rPr>
          <w:rFonts w:ascii="Times New Roman" w:hAnsi="Times New Roman" w:cs="Times New Roman"/>
          <w:sz w:val="28"/>
          <w:szCs w:val="28"/>
        </w:rPr>
        <w:t> est placée en vigilance </w:t>
      </w:r>
      <w:hyperlink r:id="rId6" w:tooltip="Toute l’actualité orange" w:history="1">
        <w:r w:rsidRPr="00E10160">
          <w:rPr>
            <w:rStyle w:val="Kpr"/>
            <w:rFonts w:ascii="Times New Roman" w:hAnsi="Times New Roman" w:cs="Times New Roman"/>
            <w:sz w:val="28"/>
            <w:szCs w:val="28"/>
          </w:rPr>
          <w:t>orange</w:t>
        </w:r>
      </w:hyperlink>
      <w:r w:rsidRPr="00E10160">
        <w:rPr>
          <w:rFonts w:ascii="Times New Roman" w:hAnsi="Times New Roman" w:cs="Times New Roman"/>
          <w:sz w:val="28"/>
          <w:szCs w:val="28"/>
        </w:rPr>
        <w:t> pour </w:t>
      </w:r>
      <w:hyperlink r:id="rId7" w:tooltip="Toute l’actualité la canicule" w:history="1">
        <w:r w:rsidRPr="00E10160">
          <w:rPr>
            <w:rStyle w:val="Kpr"/>
            <w:rFonts w:ascii="Times New Roman" w:hAnsi="Times New Roman" w:cs="Times New Roman"/>
            <w:sz w:val="28"/>
            <w:szCs w:val="28"/>
          </w:rPr>
          <w:t>la canicule</w:t>
        </w:r>
      </w:hyperlink>
      <w:r w:rsidRPr="00E10160">
        <w:rPr>
          <w:rFonts w:ascii="Times New Roman" w:hAnsi="Times New Roman" w:cs="Times New Roman"/>
          <w:sz w:val="28"/>
          <w:szCs w:val="28"/>
        </w:rPr>
        <w:t>, une </w:t>
      </w:r>
      <w:hyperlink r:id="rId8" w:history="1">
        <w:r w:rsidRPr="00E10160">
          <w:rPr>
            <w:rStyle w:val="Kpr"/>
            <w:rFonts w:ascii="Times New Roman" w:hAnsi="Times New Roman" w:cs="Times New Roman"/>
            <w:sz w:val="28"/>
            <w:szCs w:val="28"/>
          </w:rPr>
          <w:t>étude</w:t>
        </w:r>
      </w:hyperlink>
      <w:r w:rsidRPr="00E10160">
        <w:rPr>
          <w:rFonts w:ascii="Times New Roman" w:hAnsi="Times New Roman" w:cs="Times New Roman"/>
          <w:sz w:val="28"/>
          <w:szCs w:val="28"/>
        </w:rPr>
        <w:t xml:space="preserve"> se penche sur le risque de « mourir de chaud », au sens propre. Publiée en ligne lundi 19 juin dans la revue Nature </w:t>
      </w:r>
      <w:proofErr w:type="spellStart"/>
      <w:r w:rsidRPr="00E10160">
        <w:rPr>
          <w:rFonts w:ascii="Times New Roman" w:hAnsi="Times New Roman" w:cs="Times New Roman"/>
          <w:sz w:val="28"/>
          <w:szCs w:val="28"/>
        </w:rPr>
        <w:t>Climate</w:t>
      </w:r>
      <w:proofErr w:type="spellEnd"/>
      <w:r w:rsidRPr="00E10160">
        <w:rPr>
          <w:rFonts w:ascii="Times New Roman" w:hAnsi="Times New Roman" w:cs="Times New Roman"/>
          <w:sz w:val="28"/>
          <w:szCs w:val="28"/>
        </w:rPr>
        <w:t xml:space="preserve"> Change, elle conclut que ce danger guette aujourd’hui près d’un individu sur trois dans </w:t>
      </w:r>
      <w:hyperlink r:id="rId9" w:tooltip="Toute l’actualité le monde" w:history="1">
        <w:r w:rsidRPr="00E10160">
          <w:rPr>
            <w:rStyle w:val="Kpr"/>
            <w:rFonts w:ascii="Times New Roman" w:hAnsi="Times New Roman" w:cs="Times New Roman"/>
            <w:sz w:val="28"/>
            <w:szCs w:val="28"/>
          </w:rPr>
          <w:t>le monde</w:t>
        </w:r>
      </w:hyperlink>
      <w:r w:rsidRPr="00E10160">
        <w:rPr>
          <w:rFonts w:ascii="Times New Roman" w:hAnsi="Times New Roman" w:cs="Times New Roman"/>
          <w:sz w:val="28"/>
          <w:szCs w:val="28"/>
        </w:rPr>
        <w:t>. Une proportion qui pourrait </w:t>
      </w:r>
      <w:hyperlink r:id="rId10" w:tgtFrame="_blank" w:tooltip="Conjugaison du verbe grimper" w:history="1">
        <w:r w:rsidRPr="00E10160">
          <w:rPr>
            <w:rStyle w:val="Kpr"/>
            <w:rFonts w:ascii="Times New Roman" w:hAnsi="Times New Roman" w:cs="Times New Roman"/>
            <w:sz w:val="28"/>
            <w:szCs w:val="28"/>
          </w:rPr>
          <w:t>grimper</w:t>
        </w:r>
      </w:hyperlink>
      <w:r w:rsidRPr="00E10160">
        <w:rPr>
          <w:rFonts w:ascii="Times New Roman" w:hAnsi="Times New Roman" w:cs="Times New Roman"/>
          <w:sz w:val="28"/>
          <w:szCs w:val="28"/>
        </w:rPr>
        <w:t> à trois sur quatre à la fin du siècle, si les émissions de gaz à effet de serre se poursuivent à leur rythme actuel.</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Pour </w:t>
      </w:r>
      <w:hyperlink r:id="rId11" w:tgtFrame="_blank" w:tooltip="Conjugaison du verbe poser" w:history="1">
        <w:r w:rsidRPr="00E10160">
          <w:rPr>
            <w:rStyle w:val="Kpr"/>
            <w:rFonts w:ascii="Times New Roman" w:hAnsi="Times New Roman" w:cs="Times New Roman"/>
            <w:sz w:val="28"/>
            <w:szCs w:val="28"/>
          </w:rPr>
          <w:t>poser</w:t>
        </w:r>
      </w:hyperlink>
      <w:r w:rsidRPr="00E10160">
        <w:rPr>
          <w:rFonts w:ascii="Times New Roman" w:hAnsi="Times New Roman" w:cs="Times New Roman"/>
          <w:sz w:val="28"/>
          <w:szCs w:val="28"/>
        </w:rPr>
        <w:t xml:space="preserve"> ce diagnostic, une équipe américano-britannique de dix-huit chercheurs, dont la plupart travaillent à l’université </w:t>
      </w:r>
      <w:proofErr w:type="gramStart"/>
      <w:r w:rsidRPr="00E10160">
        <w:rPr>
          <w:rFonts w:ascii="Times New Roman" w:hAnsi="Times New Roman" w:cs="Times New Roman"/>
          <w:sz w:val="28"/>
          <w:szCs w:val="28"/>
        </w:rPr>
        <w:t>de Hawaï</w:t>
      </w:r>
      <w:proofErr w:type="gramEnd"/>
      <w:r w:rsidRPr="00E10160">
        <w:rPr>
          <w:rFonts w:ascii="Times New Roman" w:hAnsi="Times New Roman" w:cs="Times New Roman"/>
          <w:sz w:val="28"/>
          <w:szCs w:val="28"/>
        </w:rPr>
        <w:t>, a compilé la littérature scientifique documentant les cas de mortalité supplémentaire associée à des vagues de chaleur, entre 1980 et 2014. Elle en a identifié 783, observés dans 164 </w:t>
      </w:r>
      <w:hyperlink r:id="rId12" w:tooltip="Toute l’actualité villes" w:history="1">
        <w:r w:rsidRPr="00E10160">
          <w:rPr>
            <w:rStyle w:val="Kpr"/>
            <w:rFonts w:ascii="Times New Roman" w:hAnsi="Times New Roman" w:cs="Times New Roman"/>
            <w:sz w:val="28"/>
            <w:szCs w:val="28"/>
          </w:rPr>
          <w:t>villes</w:t>
        </w:r>
      </w:hyperlink>
      <w:r w:rsidRPr="00E10160">
        <w:rPr>
          <w:rFonts w:ascii="Times New Roman" w:hAnsi="Times New Roman" w:cs="Times New Roman"/>
          <w:sz w:val="28"/>
          <w:szCs w:val="28"/>
        </w:rPr>
        <w:t> de 36 pays. Parmi eux figurent la canicule de l’été 2003, à l’origine de 70 000 morts excédentaires en </w:t>
      </w:r>
      <w:hyperlink r:id="rId13" w:tooltip="Toute l’actualité Europe" w:history="1">
        <w:r w:rsidRPr="00E10160">
          <w:rPr>
            <w:rStyle w:val="Kpr"/>
            <w:rFonts w:ascii="Times New Roman" w:hAnsi="Times New Roman" w:cs="Times New Roman"/>
            <w:sz w:val="28"/>
            <w:szCs w:val="28"/>
          </w:rPr>
          <w:t>Europe</w:t>
        </w:r>
      </w:hyperlink>
      <w:r w:rsidRPr="00E10160">
        <w:rPr>
          <w:rFonts w:ascii="Times New Roman" w:hAnsi="Times New Roman" w:cs="Times New Roman"/>
          <w:sz w:val="28"/>
          <w:szCs w:val="28"/>
        </w:rPr>
        <w:t>, dont environ 20 000 en France, et près de 5 000 à </w:t>
      </w:r>
      <w:hyperlink r:id="rId14" w:tooltip="Toute l’actualité Paris" w:history="1">
        <w:r w:rsidRPr="00E10160">
          <w:rPr>
            <w:rStyle w:val="Kpr"/>
            <w:rFonts w:ascii="Times New Roman" w:hAnsi="Times New Roman" w:cs="Times New Roman"/>
            <w:sz w:val="28"/>
            <w:szCs w:val="28"/>
          </w:rPr>
          <w:t>Paris</w:t>
        </w:r>
      </w:hyperlink>
      <w:r w:rsidRPr="00E10160">
        <w:rPr>
          <w:rFonts w:ascii="Times New Roman" w:hAnsi="Times New Roman" w:cs="Times New Roman"/>
          <w:sz w:val="28"/>
          <w:szCs w:val="28"/>
        </w:rPr>
        <w:t>, celle de 2010, à laquelle sont imputés 55 000 décès supplémentaires en </w:t>
      </w:r>
      <w:hyperlink r:id="rId15" w:tooltip="Toute l’actualité Russie" w:history="1">
        <w:r w:rsidRPr="00E10160">
          <w:rPr>
            <w:rStyle w:val="Kpr"/>
            <w:rFonts w:ascii="Times New Roman" w:hAnsi="Times New Roman" w:cs="Times New Roman"/>
            <w:sz w:val="28"/>
            <w:szCs w:val="28"/>
          </w:rPr>
          <w:t>Russie</w:t>
        </w:r>
      </w:hyperlink>
      <w:r w:rsidRPr="00E10160">
        <w:rPr>
          <w:rFonts w:ascii="Times New Roman" w:hAnsi="Times New Roman" w:cs="Times New Roman"/>
          <w:sz w:val="28"/>
          <w:szCs w:val="28"/>
        </w:rPr>
        <w:t>, dont près de 11 000 à Moscou, ou celle qui avait frappé Chicago en juillet 1995, responsable de plus de 700 morts.</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Les auteurs ont ensuite croisé ces données avec les paramètres climatiques enregistrés lors de ces épisodes : température de l’air, taux d’humidité relative, ensoleillement, vitesse du vent… Ils en ont déduit que le facteur déterminant, pouvant </w:t>
      </w:r>
      <w:hyperlink r:id="rId16" w:tgtFrame="_blank" w:tooltip="Conjugaison du verbe altérer" w:history="1">
        <w:r w:rsidRPr="00E10160">
          <w:rPr>
            <w:rStyle w:val="Kpr"/>
            <w:rFonts w:ascii="Times New Roman" w:hAnsi="Times New Roman" w:cs="Times New Roman"/>
            <w:sz w:val="28"/>
            <w:szCs w:val="28"/>
          </w:rPr>
          <w:t>altérer</w:t>
        </w:r>
      </w:hyperlink>
      <w:r w:rsidRPr="00E10160">
        <w:rPr>
          <w:rFonts w:ascii="Times New Roman" w:hAnsi="Times New Roman" w:cs="Times New Roman"/>
          <w:sz w:val="28"/>
          <w:szCs w:val="28"/>
        </w:rPr>
        <w:t> la capacité de thermorégulation de l’organisme humain et </w:t>
      </w:r>
      <w:hyperlink r:id="rId17" w:tgtFrame="_blank" w:tooltip="Conjugaison du verbe provoquer" w:history="1">
        <w:r w:rsidRPr="00E10160">
          <w:rPr>
            <w:rStyle w:val="Kpr"/>
            <w:rFonts w:ascii="Times New Roman" w:hAnsi="Times New Roman" w:cs="Times New Roman"/>
            <w:sz w:val="28"/>
            <w:szCs w:val="28"/>
          </w:rPr>
          <w:t>provoquer</w:t>
        </w:r>
      </w:hyperlink>
      <w:r w:rsidRPr="00E10160">
        <w:rPr>
          <w:rFonts w:ascii="Times New Roman" w:hAnsi="Times New Roman" w:cs="Times New Roman"/>
          <w:sz w:val="28"/>
          <w:szCs w:val="28"/>
        </w:rPr>
        <w:t> un état d’hyperthermie, était le couple température-humidité, cette dernière renforçant la chaleur ressentie. Ils ont alors calculé un seuil à </w:t>
      </w:r>
      <w:proofErr w:type="spellStart"/>
      <w:r w:rsidRPr="00E10160">
        <w:rPr>
          <w:rFonts w:ascii="Times New Roman" w:hAnsi="Times New Roman" w:cs="Times New Roman"/>
          <w:sz w:val="28"/>
          <w:szCs w:val="28"/>
        </w:rPr>
        <w:fldChar w:fldCharType="begin"/>
      </w:r>
      <w:r w:rsidRPr="00E10160">
        <w:rPr>
          <w:rFonts w:ascii="Times New Roman" w:hAnsi="Times New Roman" w:cs="Times New Roman"/>
          <w:sz w:val="28"/>
          <w:szCs w:val="28"/>
        </w:rPr>
        <w:instrText xml:space="preserve"> HYPERLINK "https://conjugaison.lemonde.fr/conjugaison/troisieme-groupe/partir/" \o "Conjugaison du verbe partir" \t "_blank" </w:instrText>
      </w:r>
      <w:r w:rsidRPr="00E10160">
        <w:rPr>
          <w:rFonts w:ascii="Times New Roman" w:hAnsi="Times New Roman" w:cs="Times New Roman"/>
          <w:sz w:val="28"/>
          <w:szCs w:val="28"/>
        </w:rPr>
        <w:fldChar w:fldCharType="separate"/>
      </w:r>
      <w:r w:rsidRPr="00E10160">
        <w:rPr>
          <w:rStyle w:val="Kpr"/>
          <w:rFonts w:ascii="Times New Roman" w:hAnsi="Times New Roman" w:cs="Times New Roman"/>
          <w:sz w:val="28"/>
          <w:szCs w:val="28"/>
        </w:rPr>
        <w:t>partir</w:t>
      </w:r>
      <w:r w:rsidRPr="00E10160">
        <w:rPr>
          <w:rFonts w:ascii="Times New Roman" w:hAnsi="Times New Roman" w:cs="Times New Roman"/>
          <w:sz w:val="28"/>
          <w:szCs w:val="28"/>
        </w:rPr>
        <w:fldChar w:fldCharType="end"/>
      </w:r>
      <w:r w:rsidRPr="00E10160">
        <w:rPr>
          <w:rFonts w:ascii="Times New Roman" w:hAnsi="Times New Roman" w:cs="Times New Roman"/>
          <w:sz w:val="28"/>
          <w:szCs w:val="28"/>
        </w:rPr>
        <w:t>duquel</w:t>
      </w:r>
      <w:proofErr w:type="spellEnd"/>
      <w:r w:rsidRPr="00E10160">
        <w:rPr>
          <w:rFonts w:ascii="Times New Roman" w:hAnsi="Times New Roman" w:cs="Times New Roman"/>
          <w:sz w:val="28"/>
          <w:szCs w:val="28"/>
        </w:rPr>
        <w:t xml:space="preserve"> l’association de ces conditions ambiantes peut </w:t>
      </w:r>
      <w:hyperlink r:id="rId18" w:tgtFrame="_blank" w:tooltip="Conjugaison du verbe devenir" w:history="1">
        <w:r w:rsidRPr="00E10160">
          <w:rPr>
            <w:rStyle w:val="Kpr"/>
            <w:rFonts w:ascii="Times New Roman" w:hAnsi="Times New Roman" w:cs="Times New Roman"/>
            <w:sz w:val="28"/>
            <w:szCs w:val="28"/>
          </w:rPr>
          <w:t>devenir</w:t>
        </w:r>
      </w:hyperlink>
      <w:r w:rsidRPr="00E10160">
        <w:rPr>
          <w:rFonts w:ascii="Times New Roman" w:hAnsi="Times New Roman" w:cs="Times New Roman"/>
          <w:sz w:val="28"/>
          <w:szCs w:val="28"/>
        </w:rPr>
        <w:t> fatale.</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Les chercheurs n’affirment évidemment pas que le dépassement de ce seuil conduit à un trépas inéluctable, mais simplement qu’il expose à un « coup de chaud » potentiellement mortel. Différentes parades peuvent en effet </w:t>
      </w:r>
      <w:hyperlink r:id="rId19" w:tgtFrame="_blank" w:tooltip="Conjugaison du verbe être" w:history="1">
        <w:r w:rsidRPr="00E10160">
          <w:rPr>
            <w:rStyle w:val="Kpr"/>
            <w:rFonts w:ascii="Times New Roman" w:hAnsi="Times New Roman" w:cs="Times New Roman"/>
            <w:sz w:val="28"/>
            <w:szCs w:val="28"/>
          </w:rPr>
          <w:t>être</w:t>
        </w:r>
      </w:hyperlink>
      <w:r w:rsidRPr="00E10160">
        <w:rPr>
          <w:rFonts w:ascii="Times New Roman" w:hAnsi="Times New Roman" w:cs="Times New Roman"/>
          <w:sz w:val="28"/>
          <w:szCs w:val="28"/>
        </w:rPr>
        <w:t> mises en œuvre pour </w:t>
      </w:r>
      <w:hyperlink r:id="rId20" w:tgtFrame="_blank" w:tooltip="Conjugaison du verbe éviter" w:history="1">
        <w:r w:rsidRPr="00E10160">
          <w:rPr>
            <w:rStyle w:val="Kpr"/>
            <w:rFonts w:ascii="Times New Roman" w:hAnsi="Times New Roman" w:cs="Times New Roman"/>
            <w:sz w:val="28"/>
            <w:szCs w:val="28"/>
          </w:rPr>
          <w:t>éviter</w:t>
        </w:r>
      </w:hyperlink>
      <w:r w:rsidRPr="00E10160">
        <w:rPr>
          <w:rFonts w:ascii="Times New Roman" w:hAnsi="Times New Roman" w:cs="Times New Roman"/>
          <w:sz w:val="28"/>
          <w:szCs w:val="28"/>
        </w:rPr>
        <w:t> une telle extrémité, allant de l’équipement individuel en système de climatisation jusqu’à la </w:t>
      </w:r>
      <w:hyperlink r:id="rId21" w:tooltip="Toute l’actualité politique" w:history="1">
        <w:r w:rsidRPr="00E10160">
          <w:rPr>
            <w:rStyle w:val="Kpr"/>
            <w:rFonts w:ascii="Times New Roman" w:hAnsi="Times New Roman" w:cs="Times New Roman"/>
            <w:sz w:val="28"/>
            <w:szCs w:val="28"/>
          </w:rPr>
          <w:t>politique</w:t>
        </w:r>
      </w:hyperlink>
      <w:r w:rsidRPr="00E10160">
        <w:rPr>
          <w:rFonts w:ascii="Times New Roman" w:hAnsi="Times New Roman" w:cs="Times New Roman"/>
          <w:sz w:val="28"/>
          <w:szCs w:val="28"/>
        </w:rPr>
        <w:t> publique de prévention.</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Les tropiques en surchauffe</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A l’aune de ce critère, l’équipe a établi qu’en 2000, le seuil fatidique de température et d’humidité a été franchi, pendant au moins vingt jours, sur environ 13 % de la surface continentale de la </w:t>
      </w:r>
      <w:hyperlink r:id="rId22" w:tooltip="Toute l’actualité planète" w:history="1">
        <w:r w:rsidRPr="00E10160">
          <w:rPr>
            <w:rStyle w:val="Kpr"/>
            <w:rFonts w:ascii="Times New Roman" w:hAnsi="Times New Roman" w:cs="Times New Roman"/>
            <w:sz w:val="28"/>
            <w:szCs w:val="28"/>
          </w:rPr>
          <w:t>planète</w:t>
        </w:r>
      </w:hyperlink>
      <w:r w:rsidRPr="00E10160">
        <w:rPr>
          <w:rFonts w:ascii="Times New Roman" w:hAnsi="Times New Roman" w:cs="Times New Roman"/>
          <w:sz w:val="28"/>
          <w:szCs w:val="28"/>
        </w:rPr>
        <w:t>, abritant 30 % de la </w:t>
      </w:r>
      <w:hyperlink r:id="rId23" w:tooltip="Toute l’actualité population" w:history="1">
        <w:r w:rsidRPr="00E10160">
          <w:rPr>
            <w:rStyle w:val="Kpr"/>
            <w:rFonts w:ascii="Times New Roman" w:hAnsi="Times New Roman" w:cs="Times New Roman"/>
            <w:sz w:val="28"/>
            <w:szCs w:val="28"/>
          </w:rPr>
          <w:t>population</w:t>
        </w:r>
      </w:hyperlink>
      <w:r w:rsidRPr="00E10160">
        <w:rPr>
          <w:rFonts w:ascii="Times New Roman" w:hAnsi="Times New Roman" w:cs="Times New Roman"/>
          <w:sz w:val="28"/>
          <w:szCs w:val="28"/>
        </w:rPr>
        <w:t> mondiale.</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lastRenderedPageBreak/>
        <w:t>Qu’en sera-t-il demain ? La menace ne va </w:t>
      </w:r>
      <w:hyperlink r:id="rId24" w:tgtFrame="_blank" w:tooltip="Conjugaison du verbe faire" w:history="1">
        <w:r w:rsidRPr="00E10160">
          <w:rPr>
            <w:rStyle w:val="Kpr"/>
            <w:rFonts w:ascii="Times New Roman" w:hAnsi="Times New Roman" w:cs="Times New Roman"/>
            <w:sz w:val="28"/>
            <w:szCs w:val="28"/>
          </w:rPr>
          <w:t>faire</w:t>
        </w:r>
      </w:hyperlink>
      <w:r w:rsidRPr="00E10160">
        <w:rPr>
          <w:rFonts w:ascii="Times New Roman" w:hAnsi="Times New Roman" w:cs="Times New Roman"/>
          <w:sz w:val="28"/>
          <w:szCs w:val="28"/>
        </w:rPr>
        <w:t> que s’amplifier, répondent les auteurs. Son niveau dépendra toutefois de celui des émissions futures de gaz à effet de serre. Dans le scénario le plus optimiste du Groupe d’experts intergouvernemental sur l’évolution du </w:t>
      </w:r>
      <w:hyperlink r:id="rId25" w:tooltip="Toute l’actualité climat" w:history="1">
        <w:r w:rsidRPr="00E10160">
          <w:rPr>
            <w:rStyle w:val="Kpr"/>
            <w:rFonts w:ascii="Times New Roman" w:hAnsi="Times New Roman" w:cs="Times New Roman"/>
            <w:sz w:val="28"/>
            <w:szCs w:val="28"/>
          </w:rPr>
          <w:t>climat</w:t>
        </w:r>
      </w:hyperlink>
      <w:r w:rsidRPr="00E10160">
        <w:rPr>
          <w:rFonts w:ascii="Times New Roman" w:hAnsi="Times New Roman" w:cs="Times New Roman"/>
          <w:sz w:val="28"/>
          <w:szCs w:val="28"/>
        </w:rPr>
        <w:t xml:space="preserve"> (GIEC), qui suppose une </w:t>
      </w:r>
      <w:bookmarkStart w:id="0" w:name="_GoBack"/>
      <w:bookmarkEnd w:id="0"/>
      <w:r w:rsidRPr="00E10160">
        <w:rPr>
          <w:rFonts w:ascii="Times New Roman" w:hAnsi="Times New Roman" w:cs="Times New Roman"/>
          <w:sz w:val="28"/>
          <w:szCs w:val="28"/>
        </w:rPr>
        <w:t>réduction rapide et drastique de ces émissions et limite ainsi à 1 °C le réchauffement en 2100, la zone de danger concernerait 27 % de la surface du globe et 48 % de la population à la fin de ce siècle. Dans le scénario le plus pessimiste, avec lequel les rejets carbonés conservent une courbe ascendante entraînant un réchauffement moyen de 3,7 °C en 2100, ce sont 47 % du territoire et 74 % des individus qui seraient mis en péril.</w:t>
      </w:r>
    </w:p>
    <w:p w:rsidR="00E10160" w:rsidRPr="00E10160" w:rsidRDefault="00E10160" w:rsidP="00E10160">
      <w:pPr>
        <w:rPr>
          <w:rFonts w:ascii="Times New Roman" w:hAnsi="Times New Roman" w:cs="Times New Roman"/>
          <w:sz w:val="28"/>
          <w:szCs w:val="28"/>
        </w:rPr>
      </w:pP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Nombre de jours dépassant le seuil de conditions climatiques potentiellement mortelles en 2100, dans un scénario avec une forte réduction des émissions de gaz à effet de serre (à gauche) et dans un scénario où les émissions se poursuivent au rythme actuel (à droite). NATURE CLIMATE CHANGE</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Face au risque de surchauffe, tous ne sont cependant pas égaux. Bien que les modèles des climatologues prévoient des hausses de température plus marquées aux latitudes élevées, les régions tropicales seront « </w:t>
      </w:r>
      <w:hyperlink r:id="rId26" w:tooltip="Toute l’actualité expos" w:history="1">
        <w:r w:rsidRPr="00E10160">
          <w:rPr>
            <w:rStyle w:val="Kpr"/>
            <w:rFonts w:ascii="Times New Roman" w:hAnsi="Times New Roman" w:cs="Times New Roman"/>
            <w:sz w:val="28"/>
            <w:szCs w:val="28"/>
          </w:rPr>
          <w:t>expos</w:t>
        </w:r>
      </w:hyperlink>
      <w:r w:rsidRPr="00E10160">
        <w:rPr>
          <w:rFonts w:ascii="Times New Roman" w:hAnsi="Times New Roman" w:cs="Times New Roman"/>
          <w:sz w:val="28"/>
          <w:szCs w:val="28"/>
        </w:rPr>
        <w:t>ées de façon disproportionnée à davantage de jours avec des conditions climatiques potentiellement mortelles », prédisent les chercheurs.</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La raison en est l’humidité importante qui y prévaut toute l’année, ce qui fera </w:t>
      </w:r>
      <w:hyperlink r:id="rId27" w:tgtFrame="_blank" w:tooltip="Conjugaison du verbe dépasser" w:history="1">
        <w:r w:rsidRPr="00E10160">
          <w:rPr>
            <w:rStyle w:val="Kpr"/>
            <w:rFonts w:ascii="Times New Roman" w:hAnsi="Times New Roman" w:cs="Times New Roman"/>
            <w:sz w:val="28"/>
            <w:szCs w:val="28"/>
          </w:rPr>
          <w:t>dépasser</w:t>
        </w:r>
      </w:hyperlink>
      <w:r w:rsidRPr="00E10160">
        <w:rPr>
          <w:rFonts w:ascii="Times New Roman" w:hAnsi="Times New Roman" w:cs="Times New Roman"/>
          <w:sz w:val="28"/>
          <w:szCs w:val="28"/>
        </w:rPr>
        <w:t> la cote d’alerte même avec une moindre montée du thermomètre. Partout, en revanche, la menace sera aggravée par le vieillissement de la population et sa concentration croissante dans les zones urbaines, sujettes au phénomène des îlots de chaleur.</w:t>
      </w:r>
    </w:p>
    <w:p w:rsidR="00E10160" w:rsidRPr="00E10160" w:rsidRDefault="00E10160" w:rsidP="00E10160">
      <w:pPr>
        <w:rPr>
          <w:rFonts w:ascii="Times New Roman" w:hAnsi="Times New Roman" w:cs="Times New Roman"/>
          <w:sz w:val="28"/>
          <w:szCs w:val="28"/>
        </w:rPr>
      </w:pP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 Prix ultime »</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 xml:space="preserve">« Le grand intérêt de cette publication est sa dimension globale, estime Robert </w:t>
      </w:r>
      <w:proofErr w:type="spellStart"/>
      <w:r w:rsidRPr="00E10160">
        <w:rPr>
          <w:rFonts w:ascii="Times New Roman" w:hAnsi="Times New Roman" w:cs="Times New Roman"/>
          <w:sz w:val="28"/>
          <w:szCs w:val="28"/>
        </w:rPr>
        <w:t>Vautard</w:t>
      </w:r>
      <w:proofErr w:type="spellEnd"/>
      <w:r w:rsidRPr="00E10160">
        <w:rPr>
          <w:rFonts w:ascii="Times New Roman" w:hAnsi="Times New Roman" w:cs="Times New Roman"/>
          <w:sz w:val="28"/>
          <w:szCs w:val="28"/>
        </w:rPr>
        <w:t>, directeur de recherche au CNRS (Laboratoire des </w:t>
      </w:r>
      <w:hyperlink r:id="rId28" w:tooltip="Toute l’actualité sciences" w:history="1">
        <w:r w:rsidRPr="00E10160">
          <w:rPr>
            <w:rStyle w:val="Kpr"/>
            <w:rFonts w:ascii="Times New Roman" w:hAnsi="Times New Roman" w:cs="Times New Roman"/>
            <w:sz w:val="28"/>
            <w:szCs w:val="28"/>
          </w:rPr>
          <w:t>sciences</w:t>
        </w:r>
      </w:hyperlink>
      <w:r w:rsidRPr="00E10160">
        <w:rPr>
          <w:rFonts w:ascii="Times New Roman" w:hAnsi="Times New Roman" w:cs="Times New Roman"/>
          <w:sz w:val="28"/>
          <w:szCs w:val="28"/>
        </w:rPr>
        <w:t> du climat et de l’</w:t>
      </w:r>
      <w:hyperlink r:id="rId29" w:tooltip="Toute l’actualité environnement" w:history="1">
        <w:r w:rsidRPr="00E10160">
          <w:rPr>
            <w:rStyle w:val="Kpr"/>
            <w:rFonts w:ascii="Times New Roman" w:hAnsi="Times New Roman" w:cs="Times New Roman"/>
            <w:sz w:val="28"/>
            <w:szCs w:val="28"/>
          </w:rPr>
          <w:t>environnement</w:t>
        </w:r>
      </w:hyperlink>
      <w:r w:rsidRPr="00E10160">
        <w:rPr>
          <w:rFonts w:ascii="Times New Roman" w:hAnsi="Times New Roman" w:cs="Times New Roman"/>
          <w:sz w:val="28"/>
          <w:szCs w:val="28"/>
        </w:rPr>
        <w:t>, Institut Pierre-Simon-Laplace), qui n’a pas participé à ce travail. On sait que les vagues de chaleur tuent, mais c’est la première fois qu’une étude dépasse les </w:t>
      </w:r>
      <w:hyperlink r:id="rId30" w:tooltip="Toute l’actualité analyses" w:history="1">
        <w:r w:rsidRPr="00E10160">
          <w:rPr>
            <w:rStyle w:val="Kpr"/>
            <w:rFonts w:ascii="Times New Roman" w:hAnsi="Times New Roman" w:cs="Times New Roman"/>
            <w:sz w:val="28"/>
            <w:szCs w:val="28"/>
          </w:rPr>
          <w:t>analyses</w:t>
        </w:r>
      </w:hyperlink>
      <w:r w:rsidRPr="00E10160">
        <w:rPr>
          <w:rFonts w:ascii="Times New Roman" w:hAnsi="Times New Roman" w:cs="Times New Roman"/>
          <w:sz w:val="28"/>
          <w:szCs w:val="28"/>
        </w:rPr>
        <w:t> locales, en s’appuyant sur une bibliographie très large et une méthode statistique à la fois précise et innovante. »</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lastRenderedPageBreak/>
        <w:t>Sans doute ces résultats reposent-ils sur des modélisations. Les auteurs en pointent eux-mêmes certaines limites : les données ont été collectées sur une période relativement courte (trois décennies) et ne sont peut-être pas exhaustives, les incertitudes sont plus grandes pour les hautes latitudes et, surtout, de multiples facteurs (démographique, socioéconomique, urbanistique…) peuvent </w:t>
      </w:r>
      <w:hyperlink r:id="rId31" w:tgtFrame="_blank" w:tooltip="Conjugaison du verbe influencer" w:history="1">
        <w:r w:rsidRPr="00E10160">
          <w:rPr>
            <w:rStyle w:val="Kpr"/>
            <w:rFonts w:ascii="Times New Roman" w:hAnsi="Times New Roman" w:cs="Times New Roman"/>
            <w:sz w:val="28"/>
            <w:szCs w:val="28"/>
          </w:rPr>
          <w:t>influencer</w:t>
        </w:r>
      </w:hyperlink>
      <w:r w:rsidRPr="00E10160">
        <w:rPr>
          <w:rFonts w:ascii="Times New Roman" w:hAnsi="Times New Roman" w:cs="Times New Roman"/>
          <w:sz w:val="28"/>
          <w:szCs w:val="28"/>
        </w:rPr>
        <w:t> la vulnérabilité future des populations.</w:t>
      </w:r>
    </w:p>
    <w:p w:rsidR="00E10160"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t>C’est précisément sur l’importance des politiques d’atténuation du changement climatique et d’adaptation à ses conséquences que les chercheurs mettent l’accent. « Concernant les vagues de chaleur, nos options sont maintenant le mauvais ou le terrible, commente Camilo Mora, professeur associé au département de géographie de l’université de Hawaï et premier signataire de l’étude. Beaucoup de personnes dans le </w:t>
      </w:r>
      <w:hyperlink r:id="rId32" w:tooltip="Toute l’actualité monde" w:history="1">
        <w:r w:rsidRPr="00E10160">
          <w:rPr>
            <w:rStyle w:val="Kpr"/>
            <w:rFonts w:ascii="Times New Roman" w:hAnsi="Times New Roman" w:cs="Times New Roman"/>
            <w:sz w:val="28"/>
            <w:szCs w:val="28"/>
          </w:rPr>
          <w:t>monde</w:t>
        </w:r>
      </w:hyperlink>
      <w:r w:rsidRPr="00E10160">
        <w:rPr>
          <w:rFonts w:ascii="Times New Roman" w:hAnsi="Times New Roman" w:cs="Times New Roman"/>
          <w:sz w:val="28"/>
          <w:szCs w:val="28"/>
        </w:rPr>
        <w:t> paient déjà le prix ultime des canicules et cela pourrait être bien pire si les émissions de gaz à effet de serre ne sont pas considérablement réduites. »</w:t>
      </w:r>
    </w:p>
    <w:p w:rsidR="00016857" w:rsidRPr="00E10160" w:rsidRDefault="00E10160" w:rsidP="00E10160">
      <w:pPr>
        <w:rPr>
          <w:rFonts w:ascii="Times New Roman" w:hAnsi="Times New Roman" w:cs="Times New Roman"/>
          <w:sz w:val="28"/>
          <w:szCs w:val="28"/>
        </w:rPr>
      </w:pPr>
      <w:r w:rsidRPr="00E10160">
        <w:rPr>
          <w:rFonts w:ascii="Times New Roman" w:hAnsi="Times New Roman" w:cs="Times New Roman"/>
          <w:sz w:val="28"/>
          <w:szCs w:val="28"/>
        </w:rPr>
        <w:br/>
      </w:r>
    </w:p>
    <w:sectPr w:rsidR="00016857" w:rsidRPr="00E10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60"/>
    <w:rsid w:val="00016857"/>
    <w:rsid w:val="00566501"/>
    <w:rsid w:val="00C531C8"/>
    <w:rsid w:val="00E10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01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160"/>
    <w:rPr>
      <w:rFonts w:ascii="Tahoma" w:hAnsi="Tahoma" w:cs="Tahoma"/>
      <w:sz w:val="16"/>
      <w:szCs w:val="16"/>
      <w:lang w:val="fr-FR"/>
    </w:rPr>
  </w:style>
  <w:style w:type="character" w:styleId="Kpr">
    <w:name w:val="Hyperlink"/>
    <w:basedOn w:val="VarsaylanParagrafYazTipi"/>
    <w:uiPriority w:val="99"/>
    <w:unhideWhenUsed/>
    <w:rsid w:val="00E101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01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160"/>
    <w:rPr>
      <w:rFonts w:ascii="Tahoma" w:hAnsi="Tahoma" w:cs="Tahoma"/>
      <w:sz w:val="16"/>
      <w:szCs w:val="16"/>
      <w:lang w:val="fr-FR"/>
    </w:rPr>
  </w:style>
  <w:style w:type="character" w:styleId="Kpr">
    <w:name w:val="Hyperlink"/>
    <w:basedOn w:val="VarsaylanParagrafYazTipi"/>
    <w:uiPriority w:val="99"/>
    <w:unhideWhenUsed/>
    <w:rsid w:val="00E101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7022">
      <w:bodyDiv w:val="1"/>
      <w:marLeft w:val="0"/>
      <w:marRight w:val="0"/>
      <w:marTop w:val="0"/>
      <w:marBottom w:val="0"/>
      <w:divBdr>
        <w:top w:val="none" w:sz="0" w:space="0" w:color="auto"/>
        <w:left w:val="none" w:sz="0" w:space="0" w:color="auto"/>
        <w:bottom w:val="none" w:sz="0" w:space="0" w:color="auto"/>
        <w:right w:val="none" w:sz="0" w:space="0" w:color="auto"/>
      </w:divBdr>
      <w:divsChild>
        <w:div w:id="1190147909">
          <w:marLeft w:val="0"/>
          <w:marRight w:val="0"/>
          <w:marTop w:val="0"/>
          <w:marBottom w:val="0"/>
          <w:divBdr>
            <w:top w:val="none" w:sz="0" w:space="0" w:color="auto"/>
            <w:left w:val="none" w:sz="0" w:space="0" w:color="auto"/>
            <w:bottom w:val="none" w:sz="0" w:space="0" w:color="auto"/>
            <w:right w:val="none" w:sz="0" w:space="0" w:color="auto"/>
          </w:divBdr>
          <w:divsChild>
            <w:div w:id="246382473">
              <w:marLeft w:val="0"/>
              <w:marRight w:val="0"/>
              <w:marTop w:val="0"/>
              <w:marBottom w:val="0"/>
              <w:divBdr>
                <w:top w:val="none" w:sz="0" w:space="0" w:color="auto"/>
                <w:left w:val="none" w:sz="0" w:space="0" w:color="auto"/>
                <w:bottom w:val="none" w:sz="0" w:space="0" w:color="auto"/>
                <w:right w:val="none" w:sz="0" w:space="0" w:color="auto"/>
              </w:divBdr>
              <w:divsChild>
                <w:div w:id="184898468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67144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doi:10.1038/nclimate3322" TargetMode="External"/><Relationship Id="rId13" Type="http://schemas.openxmlformats.org/officeDocument/2006/relationships/hyperlink" Target="http://www.lemonde.fr/europe/" TargetMode="External"/><Relationship Id="rId18" Type="http://schemas.openxmlformats.org/officeDocument/2006/relationships/hyperlink" Target="https://conjugaison.lemonde.fr/conjugaison/troisieme-groupe/devenir/" TargetMode="External"/><Relationship Id="rId26" Type="http://schemas.openxmlformats.org/officeDocument/2006/relationships/hyperlink" Target="http://www.lemonde.fr/m-design-deco-l-expo/" TargetMode="External"/><Relationship Id="rId3" Type="http://schemas.openxmlformats.org/officeDocument/2006/relationships/settings" Target="settings.xml"/><Relationship Id="rId21" Type="http://schemas.openxmlformats.org/officeDocument/2006/relationships/hyperlink" Target="http://www.lemonde.fr/politique/" TargetMode="External"/><Relationship Id="rId34" Type="http://schemas.openxmlformats.org/officeDocument/2006/relationships/theme" Target="theme/theme1.xml"/><Relationship Id="rId7" Type="http://schemas.openxmlformats.org/officeDocument/2006/relationships/hyperlink" Target="http://www.lemonde.fr/canicule/" TargetMode="External"/><Relationship Id="rId12" Type="http://schemas.openxmlformats.org/officeDocument/2006/relationships/hyperlink" Target="http://www.lemonde.fr/villes/" TargetMode="External"/><Relationship Id="rId17" Type="http://schemas.openxmlformats.org/officeDocument/2006/relationships/hyperlink" Target="https://conjugaison.lemonde.fr/conjugaison/premier-groupe/provoquer/" TargetMode="External"/><Relationship Id="rId25" Type="http://schemas.openxmlformats.org/officeDocument/2006/relationships/hyperlink" Target="http://www.lemonde.fr/climat/"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conjugaison.lemonde.fr/conjugaison/premier-groupe/alt%C3%A9rer/" TargetMode="External"/><Relationship Id="rId20" Type="http://schemas.openxmlformats.org/officeDocument/2006/relationships/hyperlink" Target="https://conjugaison.lemonde.fr/conjugaison/premier-groupe/%C3%A9viter/" TargetMode="External"/><Relationship Id="rId29" Type="http://schemas.openxmlformats.org/officeDocument/2006/relationships/hyperlink" Target="http://www.lemonde.fr/environnement/" TargetMode="External"/><Relationship Id="rId1" Type="http://schemas.openxmlformats.org/officeDocument/2006/relationships/styles" Target="styles.xml"/><Relationship Id="rId6" Type="http://schemas.openxmlformats.org/officeDocument/2006/relationships/hyperlink" Target="http://www.lemonde.fr/orange/" TargetMode="External"/><Relationship Id="rId11" Type="http://schemas.openxmlformats.org/officeDocument/2006/relationships/hyperlink" Target="https://conjugaison.lemonde.fr/conjugaison/premier-groupe/poser/" TargetMode="External"/><Relationship Id="rId24" Type="http://schemas.openxmlformats.org/officeDocument/2006/relationships/hyperlink" Target="https://conjugaison.lemonde.fr/conjugaison/troisieme-groupe/faire/" TargetMode="External"/><Relationship Id="rId32" Type="http://schemas.openxmlformats.org/officeDocument/2006/relationships/hyperlink" Target="http://www.lemonde.fr/afrique-monde/" TargetMode="External"/><Relationship Id="rId5" Type="http://schemas.openxmlformats.org/officeDocument/2006/relationships/hyperlink" Target="http://www.lemonde.fr/europeennes-france/" TargetMode="External"/><Relationship Id="rId15" Type="http://schemas.openxmlformats.org/officeDocument/2006/relationships/hyperlink" Target="http://www.lemonde.fr/russie/" TargetMode="External"/><Relationship Id="rId23" Type="http://schemas.openxmlformats.org/officeDocument/2006/relationships/hyperlink" Target="http://www.lemonde.fr/demographie/" TargetMode="External"/><Relationship Id="rId28" Type="http://schemas.openxmlformats.org/officeDocument/2006/relationships/hyperlink" Target="http://www.lemonde.fr/sciences/" TargetMode="External"/><Relationship Id="rId10" Type="http://schemas.openxmlformats.org/officeDocument/2006/relationships/hyperlink" Target="https://conjugaison.lemonde.fr/conjugaison/premier-groupe/grimper/" TargetMode="External"/><Relationship Id="rId19" Type="http://schemas.openxmlformats.org/officeDocument/2006/relationships/hyperlink" Target="https://conjugaison.lemonde.fr/conjugaison/auxiliaire/%C3%AAtre/" TargetMode="External"/><Relationship Id="rId31" Type="http://schemas.openxmlformats.org/officeDocument/2006/relationships/hyperlink" Target="https://conjugaison.lemonde.fr/conjugaison/premier-groupe/influencer/" TargetMode="External"/><Relationship Id="rId4" Type="http://schemas.openxmlformats.org/officeDocument/2006/relationships/webSettings" Target="webSettings.xml"/><Relationship Id="rId9" Type="http://schemas.openxmlformats.org/officeDocument/2006/relationships/hyperlink" Target="http://www.lemonde.fr/le-monde/" TargetMode="External"/><Relationship Id="rId14" Type="http://schemas.openxmlformats.org/officeDocument/2006/relationships/hyperlink" Target="http://www.lemonde.fr/paris/" TargetMode="External"/><Relationship Id="rId22" Type="http://schemas.openxmlformats.org/officeDocument/2006/relationships/hyperlink" Target="http://www.lemonde.fr/planete/" TargetMode="External"/><Relationship Id="rId27" Type="http://schemas.openxmlformats.org/officeDocument/2006/relationships/hyperlink" Target="https://conjugaison.lemonde.fr/conjugaison/premier-groupe/d%C3%A9passer/" TargetMode="External"/><Relationship Id="rId30" Type="http://schemas.openxmlformats.org/officeDocument/2006/relationships/hyperlink" Target="http://www.lemonde.fr/analys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2018-03-08T11:36:00Z</dcterms:created>
  <dcterms:modified xsi:type="dcterms:W3CDTF">2018-03-08T11:38:00Z</dcterms:modified>
</cp:coreProperties>
</file>