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13A" w:rsidRPr="00891D29" w:rsidRDefault="0030113A" w:rsidP="00891D29">
      <w:pPr>
        <w:spacing w:line="480" w:lineRule="auto"/>
        <w:ind w:firstLine="708"/>
        <w:jc w:val="center"/>
        <w:rPr>
          <w:b/>
          <w:sz w:val="28"/>
          <w:szCs w:val="28"/>
        </w:rPr>
      </w:pPr>
      <w:r w:rsidRPr="00891D29">
        <w:rPr>
          <w:b/>
          <w:sz w:val="28"/>
          <w:szCs w:val="28"/>
        </w:rPr>
        <w:t>Rus Edebiyatında Sembolizm</w:t>
      </w:r>
    </w:p>
    <w:p w:rsidR="0030113A" w:rsidRPr="00891D29" w:rsidRDefault="0030113A" w:rsidP="00891D29">
      <w:pPr>
        <w:spacing w:line="480" w:lineRule="auto"/>
        <w:ind w:firstLine="708"/>
        <w:jc w:val="both"/>
        <w:rPr>
          <w:b/>
          <w:sz w:val="28"/>
          <w:szCs w:val="28"/>
        </w:rPr>
      </w:pPr>
    </w:p>
    <w:p w:rsidR="0030113A" w:rsidRPr="00891D29" w:rsidRDefault="0030113A" w:rsidP="00891D29">
      <w:pPr>
        <w:spacing w:line="480" w:lineRule="auto"/>
        <w:ind w:firstLine="720"/>
        <w:jc w:val="both"/>
        <w:rPr>
          <w:sz w:val="28"/>
          <w:szCs w:val="28"/>
        </w:rPr>
      </w:pPr>
      <w:r w:rsidRPr="00891D29">
        <w:rPr>
          <w:sz w:val="28"/>
          <w:szCs w:val="28"/>
        </w:rPr>
        <w:t>1870-1880’li yıllarda ilk olarak Fransa’da ortaya çıkan sembolizm, Almanya, İngiltere, Belçika, Avusturya, Norveç gibi Avrupa ülkelerinin yanı sıra Rusya’da da yaygınlaşır.</w:t>
      </w:r>
      <w:r w:rsidRPr="00891D29">
        <w:rPr>
          <w:rStyle w:val="DipnotBavurusu"/>
          <w:sz w:val="28"/>
          <w:szCs w:val="28"/>
        </w:rPr>
        <w:footnoteReference w:id="1"/>
      </w:r>
      <w:r w:rsidRPr="00891D29">
        <w:rPr>
          <w:sz w:val="28"/>
          <w:szCs w:val="28"/>
        </w:rPr>
        <w:t xml:space="preserve"> Akımın adı, “bir kelimenin aslı olan ve yan yana getirmek, karşılaştırmak” anlamına gelen Yunanca </w:t>
      </w:r>
      <w:proofErr w:type="spellStart"/>
      <w:r w:rsidRPr="00891D29">
        <w:rPr>
          <w:i/>
          <w:sz w:val="28"/>
          <w:szCs w:val="28"/>
        </w:rPr>
        <w:t>sy</w:t>
      </w:r>
      <w:bookmarkStart w:id="0" w:name="_GoBack"/>
      <w:bookmarkEnd w:id="0"/>
      <w:r w:rsidRPr="00891D29">
        <w:rPr>
          <w:i/>
          <w:sz w:val="28"/>
          <w:szCs w:val="28"/>
        </w:rPr>
        <w:t>mbolon</w:t>
      </w:r>
      <w:proofErr w:type="spellEnd"/>
      <w:r w:rsidRPr="00891D29">
        <w:rPr>
          <w:sz w:val="28"/>
          <w:szCs w:val="28"/>
        </w:rPr>
        <w:t xml:space="preserve"> sözcüğünden doğan </w:t>
      </w:r>
      <w:r w:rsidRPr="00891D29">
        <w:rPr>
          <w:i/>
          <w:sz w:val="28"/>
          <w:szCs w:val="28"/>
        </w:rPr>
        <w:t xml:space="preserve">sembol </w:t>
      </w:r>
      <w:r w:rsidRPr="00891D29">
        <w:rPr>
          <w:sz w:val="28"/>
          <w:szCs w:val="28"/>
        </w:rPr>
        <w:t>teriminden kaynaklanır.</w:t>
      </w:r>
      <w:r w:rsidRPr="00891D29">
        <w:rPr>
          <w:rStyle w:val="DipnotBavurusu"/>
          <w:sz w:val="28"/>
          <w:szCs w:val="28"/>
        </w:rPr>
        <w:footnoteReference w:id="2"/>
      </w:r>
      <w:r w:rsidRPr="00891D29">
        <w:rPr>
          <w:sz w:val="28"/>
          <w:szCs w:val="28"/>
        </w:rPr>
        <w:t xml:space="preserve"> Semboller belirli bir nesneyi, olguyu, hareketi, özüyle birlikte karakterini ve niteliğini aktaran maddi veya sözlü işaret olarak kullanılmaktadır.</w:t>
      </w:r>
      <w:r w:rsidRPr="00891D29">
        <w:rPr>
          <w:rStyle w:val="DipnotBavurusu"/>
          <w:sz w:val="28"/>
          <w:szCs w:val="28"/>
        </w:rPr>
        <w:footnoteReference w:id="3"/>
      </w:r>
      <w:r w:rsidRPr="00891D29">
        <w:rPr>
          <w:sz w:val="28"/>
          <w:szCs w:val="28"/>
        </w:rPr>
        <w:t xml:space="preserve"> Sembollerin matematik, kimya, mantık, semiyotik gibi farklı alanlarda yaygın kullanımının nedeni, </w:t>
      </w:r>
      <w:proofErr w:type="spellStart"/>
      <w:r w:rsidRPr="00891D29">
        <w:rPr>
          <w:sz w:val="28"/>
          <w:szCs w:val="28"/>
        </w:rPr>
        <w:t>Varren’e</w:t>
      </w:r>
      <w:proofErr w:type="spellEnd"/>
      <w:r w:rsidRPr="00891D29">
        <w:rPr>
          <w:sz w:val="28"/>
          <w:szCs w:val="28"/>
        </w:rPr>
        <w:t xml:space="preserve"> göre “başka bir şeyin yerine geçmesi, onu temsil etmesidir”. Böylece sembolde “işaretle işaret edilen şey arasında bir kıyas (benzerlik) fikrinin başlangıçtan beri var” olması ön koşul halini almıştır.</w:t>
      </w:r>
      <w:r w:rsidRPr="00891D29">
        <w:rPr>
          <w:rStyle w:val="DipnotBavurusu"/>
          <w:sz w:val="28"/>
          <w:szCs w:val="28"/>
        </w:rPr>
        <w:footnoteReference w:id="4"/>
      </w:r>
      <w:r w:rsidRPr="00891D29">
        <w:rPr>
          <w:sz w:val="28"/>
          <w:szCs w:val="28"/>
        </w:rPr>
        <w:t xml:space="preserve"> Sembolde yatan bu gizli karşılaştırma, tarihe ve yaşama ilişkin olaylarla, inançlarla ilişkilidir. Örneğin haç, Hıristiyanlığın sembolüdür. Ferdinand de </w:t>
      </w:r>
      <w:proofErr w:type="spellStart"/>
      <w:r w:rsidRPr="00891D29">
        <w:rPr>
          <w:sz w:val="28"/>
          <w:szCs w:val="28"/>
        </w:rPr>
        <w:t>Saussure’e</w:t>
      </w:r>
      <w:proofErr w:type="spellEnd"/>
      <w:r w:rsidRPr="00891D29">
        <w:rPr>
          <w:sz w:val="28"/>
          <w:szCs w:val="28"/>
        </w:rPr>
        <w:t xml:space="preserve"> göreyse “tüzenin simgesi olan terazinin yerini başka herhangi bir şey, örneğin bir araba alamaz”.</w:t>
      </w:r>
      <w:r w:rsidRPr="00891D29">
        <w:rPr>
          <w:rStyle w:val="DipnotBavurusu"/>
          <w:sz w:val="28"/>
          <w:szCs w:val="28"/>
        </w:rPr>
        <w:footnoteReference w:id="5"/>
      </w:r>
      <w:r w:rsidRPr="00891D29">
        <w:rPr>
          <w:sz w:val="28"/>
          <w:szCs w:val="28"/>
        </w:rPr>
        <w:t xml:space="preserve"> Ancak Hıristiyanlık ve “tüze”, yerine geçen sembollerin açıklayamayacağı kadar kapsamlıdır. Sembollerin tarihi çok eskidir ve belirli tarihi olaylarda eski sembolün yerini yenisi alır veya eski sembolün </w:t>
      </w:r>
      <w:r w:rsidRPr="00891D29">
        <w:rPr>
          <w:sz w:val="28"/>
          <w:szCs w:val="28"/>
        </w:rPr>
        <w:lastRenderedPageBreak/>
        <w:t>anlamı değişir. Örneğin beyaz güvercin başta yumuşaklığın simgesiyken, günümüzde barışın işaretidir.</w:t>
      </w:r>
      <w:r w:rsidRPr="00891D29">
        <w:rPr>
          <w:rStyle w:val="DipnotBavurusu"/>
          <w:sz w:val="28"/>
          <w:szCs w:val="28"/>
        </w:rPr>
        <w:footnoteReference w:id="6"/>
      </w:r>
    </w:p>
    <w:p w:rsidR="00097F55" w:rsidRPr="00891D29" w:rsidRDefault="00097F55" w:rsidP="00891D29">
      <w:pPr>
        <w:pStyle w:val="GvdeMetni"/>
        <w:ind w:firstLine="720"/>
        <w:rPr>
          <w:sz w:val="28"/>
          <w:szCs w:val="28"/>
        </w:rPr>
      </w:pPr>
      <w:r w:rsidRPr="00891D29">
        <w:rPr>
          <w:sz w:val="28"/>
          <w:szCs w:val="28"/>
          <w:lang w:val="tr-TR"/>
        </w:rPr>
        <w:t>Edebiyat kuramı alanında kullanılan semboller, “bizi başka bir nesneye götüren, fakat bir canlandırma, gösterme olarak kendi başına da dikkat isteyen bir nesnedir”.</w:t>
      </w:r>
      <w:r w:rsidRPr="00891D29">
        <w:rPr>
          <w:rStyle w:val="DipnotBavurusu"/>
          <w:sz w:val="28"/>
          <w:szCs w:val="28"/>
        </w:rPr>
        <w:footnoteReference w:id="7"/>
      </w:r>
      <w:r w:rsidRPr="00891D29">
        <w:rPr>
          <w:sz w:val="28"/>
          <w:szCs w:val="28"/>
          <w:lang w:val="tr-TR"/>
        </w:rPr>
        <w:t xml:space="preserve"> </w:t>
      </w:r>
      <w:r w:rsidRPr="00891D29">
        <w:rPr>
          <w:sz w:val="28"/>
          <w:szCs w:val="28"/>
        </w:rPr>
        <w:t xml:space="preserve">Bu </w:t>
      </w:r>
      <w:proofErr w:type="spellStart"/>
      <w:r w:rsidRPr="00891D29">
        <w:rPr>
          <w:sz w:val="28"/>
          <w:szCs w:val="28"/>
        </w:rPr>
        <w:t>alanda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kullanılan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sembollerin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temelinde</w:t>
      </w:r>
      <w:proofErr w:type="spellEnd"/>
      <w:r w:rsidRPr="00891D29">
        <w:rPr>
          <w:sz w:val="28"/>
          <w:szCs w:val="28"/>
        </w:rPr>
        <w:t xml:space="preserve"> </w:t>
      </w:r>
      <w:r w:rsidRPr="00891D29">
        <w:rPr>
          <w:i/>
          <w:sz w:val="28"/>
          <w:szCs w:val="28"/>
        </w:rPr>
        <w:t>trop</w:t>
      </w:r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olarak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adlandırılan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mecazi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anlam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yatar</w:t>
      </w:r>
      <w:proofErr w:type="spellEnd"/>
      <w:r w:rsidRPr="00891D29">
        <w:rPr>
          <w:sz w:val="28"/>
          <w:szCs w:val="28"/>
        </w:rPr>
        <w:t xml:space="preserve">. </w:t>
      </w:r>
      <w:proofErr w:type="spellStart"/>
      <w:r w:rsidRPr="00891D29">
        <w:rPr>
          <w:sz w:val="28"/>
          <w:szCs w:val="28"/>
        </w:rPr>
        <w:t>Örneğin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Puşkin’in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şiirlerinde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güneş</w:t>
      </w:r>
      <w:proofErr w:type="spellEnd"/>
      <w:r w:rsidRPr="00891D29">
        <w:rPr>
          <w:sz w:val="28"/>
          <w:szCs w:val="28"/>
        </w:rPr>
        <w:t xml:space="preserve">, </w:t>
      </w:r>
      <w:proofErr w:type="spellStart"/>
      <w:r w:rsidRPr="00891D29">
        <w:rPr>
          <w:sz w:val="28"/>
          <w:szCs w:val="28"/>
        </w:rPr>
        <w:t>mutluluğun</w:t>
      </w:r>
      <w:proofErr w:type="spellEnd"/>
      <w:r w:rsidRPr="00891D29">
        <w:rPr>
          <w:sz w:val="28"/>
          <w:szCs w:val="28"/>
        </w:rPr>
        <w:t xml:space="preserve">, </w:t>
      </w:r>
      <w:proofErr w:type="spellStart"/>
      <w:r w:rsidRPr="00891D29">
        <w:rPr>
          <w:sz w:val="28"/>
          <w:szCs w:val="28"/>
        </w:rPr>
        <w:t>sevincin</w:t>
      </w:r>
      <w:proofErr w:type="spellEnd"/>
      <w:r w:rsidRPr="00891D29">
        <w:rPr>
          <w:sz w:val="28"/>
          <w:szCs w:val="28"/>
        </w:rPr>
        <w:t xml:space="preserve">; </w:t>
      </w:r>
      <w:proofErr w:type="spellStart"/>
      <w:r w:rsidRPr="00891D29">
        <w:rPr>
          <w:sz w:val="28"/>
          <w:szCs w:val="28"/>
        </w:rPr>
        <w:t>Gorki’nin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yapıtlarında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fırtına</w:t>
      </w:r>
      <w:proofErr w:type="spellEnd"/>
      <w:r w:rsidRPr="00891D29">
        <w:rPr>
          <w:sz w:val="28"/>
          <w:szCs w:val="28"/>
        </w:rPr>
        <w:t xml:space="preserve">, </w:t>
      </w:r>
      <w:proofErr w:type="spellStart"/>
      <w:r w:rsidRPr="00891D29">
        <w:rPr>
          <w:sz w:val="28"/>
          <w:szCs w:val="28"/>
        </w:rPr>
        <w:t>devrimin</w:t>
      </w:r>
      <w:proofErr w:type="spellEnd"/>
      <w:r w:rsidRPr="00891D29">
        <w:rPr>
          <w:sz w:val="28"/>
          <w:szCs w:val="28"/>
        </w:rPr>
        <w:t xml:space="preserve"> sembolüdür.</w:t>
      </w:r>
      <w:r w:rsidRPr="00891D29">
        <w:rPr>
          <w:sz w:val="28"/>
          <w:szCs w:val="28"/>
          <w:vertAlign w:val="superscript"/>
        </w:rPr>
        <w:t>7</w:t>
      </w:r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Edebiyatta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semboller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karşılaştırmada</w:t>
      </w:r>
      <w:proofErr w:type="spellEnd"/>
      <w:r w:rsidRPr="00891D29">
        <w:rPr>
          <w:sz w:val="28"/>
          <w:szCs w:val="28"/>
        </w:rPr>
        <w:t xml:space="preserve">, </w:t>
      </w:r>
      <w:proofErr w:type="spellStart"/>
      <w:r w:rsidRPr="00891D29">
        <w:rPr>
          <w:sz w:val="28"/>
          <w:szCs w:val="28"/>
        </w:rPr>
        <w:t>metaforda</w:t>
      </w:r>
      <w:proofErr w:type="spellEnd"/>
      <w:r w:rsidRPr="00891D29">
        <w:rPr>
          <w:sz w:val="28"/>
          <w:szCs w:val="28"/>
        </w:rPr>
        <w:t xml:space="preserve">, </w:t>
      </w:r>
      <w:proofErr w:type="spellStart"/>
      <w:r w:rsidRPr="00891D29">
        <w:rPr>
          <w:sz w:val="28"/>
          <w:szCs w:val="28"/>
        </w:rPr>
        <w:t>paralellikte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ve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sanatsal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sıfatta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saklı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olabilir</w:t>
      </w:r>
      <w:proofErr w:type="spellEnd"/>
      <w:r w:rsidRPr="00891D29">
        <w:rPr>
          <w:sz w:val="28"/>
          <w:szCs w:val="28"/>
        </w:rPr>
        <w:t xml:space="preserve">. </w:t>
      </w:r>
      <w:proofErr w:type="spellStart"/>
      <w:r w:rsidRPr="00891D29">
        <w:rPr>
          <w:sz w:val="28"/>
          <w:szCs w:val="28"/>
        </w:rPr>
        <w:t>Fabl</w:t>
      </w:r>
      <w:proofErr w:type="spellEnd"/>
      <w:r w:rsidRPr="00891D29">
        <w:rPr>
          <w:sz w:val="28"/>
          <w:szCs w:val="28"/>
        </w:rPr>
        <w:t xml:space="preserve">, </w:t>
      </w:r>
      <w:proofErr w:type="spellStart"/>
      <w:r w:rsidRPr="00891D29">
        <w:rPr>
          <w:sz w:val="28"/>
          <w:szCs w:val="28"/>
        </w:rPr>
        <w:t>allegori</w:t>
      </w:r>
      <w:proofErr w:type="spellEnd"/>
      <w:r w:rsidRPr="00891D29">
        <w:rPr>
          <w:sz w:val="28"/>
          <w:szCs w:val="28"/>
        </w:rPr>
        <w:t xml:space="preserve">, </w:t>
      </w:r>
      <w:proofErr w:type="spellStart"/>
      <w:r w:rsidRPr="00891D29">
        <w:rPr>
          <w:sz w:val="28"/>
          <w:szCs w:val="28"/>
        </w:rPr>
        <w:t>allegorik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masal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sembollerin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çeşitli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kullanımlarını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sunar</w:t>
      </w:r>
      <w:proofErr w:type="spellEnd"/>
      <w:r w:rsidRPr="00891D29">
        <w:rPr>
          <w:sz w:val="28"/>
          <w:szCs w:val="28"/>
        </w:rPr>
        <w:t xml:space="preserve">. </w:t>
      </w:r>
    </w:p>
    <w:p w:rsidR="00097F55" w:rsidRPr="00891D29" w:rsidRDefault="00097F55" w:rsidP="00891D29">
      <w:pPr>
        <w:spacing w:line="480" w:lineRule="auto"/>
        <w:ind w:firstLine="708"/>
        <w:jc w:val="both"/>
        <w:rPr>
          <w:sz w:val="28"/>
          <w:szCs w:val="28"/>
        </w:rPr>
      </w:pPr>
      <w:r w:rsidRPr="00891D29">
        <w:rPr>
          <w:sz w:val="28"/>
          <w:szCs w:val="28"/>
        </w:rPr>
        <w:t xml:space="preserve">Rus edebiyatı sembolizmle 1890’lı yıllarda tanışır. Rus edebiyatında sembolizm, </w:t>
      </w:r>
      <w:proofErr w:type="spellStart"/>
      <w:proofErr w:type="gramStart"/>
      <w:r w:rsidRPr="00891D29">
        <w:rPr>
          <w:sz w:val="28"/>
          <w:szCs w:val="28"/>
        </w:rPr>
        <w:t>Baudelaire,Verlaine</w:t>
      </w:r>
      <w:proofErr w:type="spellEnd"/>
      <w:proofErr w:type="gramEnd"/>
      <w:r w:rsidRPr="00891D29">
        <w:rPr>
          <w:sz w:val="28"/>
          <w:szCs w:val="28"/>
        </w:rPr>
        <w:t xml:space="preserve">, </w:t>
      </w:r>
      <w:proofErr w:type="spellStart"/>
      <w:r w:rsidRPr="00891D29">
        <w:rPr>
          <w:sz w:val="28"/>
          <w:szCs w:val="28"/>
        </w:rPr>
        <w:t>Maeterlinck</w:t>
      </w:r>
      <w:proofErr w:type="spellEnd"/>
      <w:r w:rsidRPr="00891D29">
        <w:rPr>
          <w:sz w:val="28"/>
          <w:szCs w:val="28"/>
        </w:rPr>
        <w:t xml:space="preserve">, </w:t>
      </w:r>
      <w:proofErr w:type="spellStart"/>
      <w:r w:rsidRPr="00891D29">
        <w:rPr>
          <w:sz w:val="28"/>
          <w:szCs w:val="28"/>
        </w:rPr>
        <w:t>Mallermé</w:t>
      </w:r>
      <w:proofErr w:type="spellEnd"/>
      <w:r w:rsidRPr="00891D29">
        <w:rPr>
          <w:sz w:val="28"/>
          <w:szCs w:val="28"/>
        </w:rPr>
        <w:t xml:space="preserve"> gibi Fransız dekadanları ile</w:t>
      </w:r>
    </w:p>
    <w:p w:rsidR="00097F55" w:rsidRPr="00891D29" w:rsidRDefault="00097F55" w:rsidP="00891D29">
      <w:pPr>
        <w:spacing w:line="480" w:lineRule="auto"/>
        <w:jc w:val="both"/>
        <w:rPr>
          <w:sz w:val="28"/>
          <w:szCs w:val="28"/>
        </w:rPr>
      </w:pPr>
      <w:r w:rsidRPr="00891D29">
        <w:rPr>
          <w:sz w:val="28"/>
          <w:szCs w:val="28"/>
        </w:rPr>
        <w:t xml:space="preserve">O. </w:t>
      </w:r>
      <w:proofErr w:type="spellStart"/>
      <w:r w:rsidRPr="00891D29">
        <w:rPr>
          <w:sz w:val="28"/>
          <w:szCs w:val="28"/>
        </w:rPr>
        <w:t>Wilde</w:t>
      </w:r>
      <w:proofErr w:type="spellEnd"/>
      <w:r w:rsidRPr="00891D29">
        <w:rPr>
          <w:sz w:val="28"/>
          <w:szCs w:val="28"/>
        </w:rPr>
        <w:t xml:space="preserve">, H. </w:t>
      </w:r>
      <w:proofErr w:type="spellStart"/>
      <w:r w:rsidRPr="00891D29">
        <w:rPr>
          <w:sz w:val="28"/>
          <w:szCs w:val="28"/>
        </w:rPr>
        <w:t>İbsen</w:t>
      </w:r>
      <w:proofErr w:type="spellEnd"/>
      <w:r w:rsidRPr="00891D29">
        <w:rPr>
          <w:sz w:val="28"/>
          <w:szCs w:val="28"/>
        </w:rPr>
        <w:t xml:space="preserve">, F. </w:t>
      </w:r>
      <w:proofErr w:type="spellStart"/>
      <w:r w:rsidRPr="00891D29">
        <w:rPr>
          <w:sz w:val="28"/>
          <w:szCs w:val="28"/>
        </w:rPr>
        <w:t>Nietszche’nin</w:t>
      </w:r>
      <w:proofErr w:type="spellEnd"/>
      <w:r w:rsidRPr="00891D29">
        <w:rPr>
          <w:sz w:val="28"/>
          <w:szCs w:val="28"/>
        </w:rPr>
        <w:t xml:space="preserve"> yanı sıra Dostoyevski’nin romanları, </w:t>
      </w:r>
      <w:proofErr w:type="spellStart"/>
      <w:r w:rsidRPr="00891D29">
        <w:rPr>
          <w:sz w:val="28"/>
          <w:szCs w:val="28"/>
        </w:rPr>
        <w:t>Tyutçev</w:t>
      </w:r>
      <w:proofErr w:type="spellEnd"/>
      <w:r w:rsidRPr="00891D29">
        <w:rPr>
          <w:sz w:val="28"/>
          <w:szCs w:val="28"/>
        </w:rPr>
        <w:t xml:space="preserve"> ve </w:t>
      </w:r>
      <w:proofErr w:type="spellStart"/>
      <w:r w:rsidRPr="00891D29">
        <w:rPr>
          <w:sz w:val="28"/>
          <w:szCs w:val="28"/>
        </w:rPr>
        <w:t>Fet’in</w:t>
      </w:r>
      <w:proofErr w:type="spellEnd"/>
      <w:r w:rsidRPr="00891D29">
        <w:rPr>
          <w:sz w:val="28"/>
          <w:szCs w:val="28"/>
        </w:rPr>
        <w:t xml:space="preserve"> şiirleri ve Alman edebiyatındaki </w:t>
      </w:r>
      <w:proofErr w:type="spellStart"/>
      <w:r w:rsidRPr="00891D29">
        <w:rPr>
          <w:sz w:val="28"/>
          <w:szCs w:val="28"/>
        </w:rPr>
        <w:t>Strum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und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Drang</w:t>
      </w:r>
      <w:proofErr w:type="spellEnd"/>
      <w:r w:rsidRPr="00891D29">
        <w:rPr>
          <w:sz w:val="28"/>
          <w:szCs w:val="28"/>
        </w:rPr>
        <w:t xml:space="preserve"> akımının etkisi altında gelişmiştir. Böylece sembolizmin Fransız, Alman ve Rus edebiyatları arasındaki karşılıklı etkileşimle geliştiği söylenebilir. Ayrıca mistik düşünür V.S. </w:t>
      </w:r>
      <w:proofErr w:type="spellStart"/>
      <w:r w:rsidRPr="00891D29">
        <w:rPr>
          <w:sz w:val="28"/>
          <w:szCs w:val="28"/>
        </w:rPr>
        <w:t>Solovyev’in</w:t>
      </w:r>
      <w:proofErr w:type="spellEnd"/>
      <w:r w:rsidRPr="00891D29">
        <w:rPr>
          <w:sz w:val="28"/>
          <w:szCs w:val="28"/>
        </w:rPr>
        <w:t xml:space="preserve"> idealist felsefesi de akımda çok etkili olmuştur. Bu felsefeyi benimseyen K.D. </w:t>
      </w:r>
      <w:proofErr w:type="spellStart"/>
      <w:r w:rsidRPr="00891D29">
        <w:rPr>
          <w:sz w:val="28"/>
          <w:szCs w:val="28"/>
        </w:rPr>
        <w:t>Balmont</w:t>
      </w:r>
      <w:proofErr w:type="spellEnd"/>
      <w:r w:rsidRPr="00891D29">
        <w:rPr>
          <w:sz w:val="28"/>
          <w:szCs w:val="28"/>
        </w:rPr>
        <w:t xml:space="preserve">, D.S. </w:t>
      </w:r>
      <w:proofErr w:type="spellStart"/>
      <w:r w:rsidRPr="00891D29">
        <w:rPr>
          <w:sz w:val="28"/>
          <w:szCs w:val="28"/>
        </w:rPr>
        <w:t>Merejkovski</w:t>
      </w:r>
      <w:proofErr w:type="spellEnd"/>
      <w:r w:rsidRPr="00891D29">
        <w:rPr>
          <w:sz w:val="28"/>
          <w:szCs w:val="28"/>
        </w:rPr>
        <w:t xml:space="preserve">, Z.N. </w:t>
      </w:r>
      <w:proofErr w:type="spellStart"/>
      <w:r w:rsidRPr="00891D29">
        <w:rPr>
          <w:sz w:val="28"/>
          <w:szCs w:val="28"/>
        </w:rPr>
        <w:t>Gippius</w:t>
      </w:r>
      <w:proofErr w:type="spellEnd"/>
      <w:r w:rsidRPr="00891D29">
        <w:rPr>
          <w:sz w:val="28"/>
          <w:szCs w:val="28"/>
        </w:rPr>
        <w:t xml:space="preserve">, F. </w:t>
      </w:r>
      <w:proofErr w:type="spellStart"/>
      <w:r w:rsidRPr="00891D29">
        <w:rPr>
          <w:sz w:val="28"/>
          <w:szCs w:val="28"/>
        </w:rPr>
        <w:t>Sologub</w:t>
      </w:r>
      <w:proofErr w:type="spellEnd"/>
      <w:r w:rsidRPr="00891D29">
        <w:rPr>
          <w:sz w:val="28"/>
          <w:szCs w:val="28"/>
        </w:rPr>
        <w:t xml:space="preserve">, A. Blok, A. </w:t>
      </w:r>
      <w:proofErr w:type="spellStart"/>
      <w:r w:rsidRPr="00891D29">
        <w:rPr>
          <w:sz w:val="28"/>
          <w:szCs w:val="28"/>
        </w:rPr>
        <w:t>Belıy</w:t>
      </w:r>
      <w:proofErr w:type="spellEnd"/>
      <w:r w:rsidRPr="00891D29">
        <w:rPr>
          <w:sz w:val="28"/>
          <w:szCs w:val="28"/>
        </w:rPr>
        <w:t xml:space="preserve">, </w:t>
      </w:r>
      <w:proofErr w:type="spellStart"/>
      <w:r w:rsidRPr="00891D29">
        <w:rPr>
          <w:sz w:val="28"/>
          <w:szCs w:val="28"/>
        </w:rPr>
        <w:t>Vyaç</w:t>
      </w:r>
      <w:proofErr w:type="spellEnd"/>
      <w:r w:rsidRPr="00891D29">
        <w:rPr>
          <w:sz w:val="28"/>
          <w:szCs w:val="28"/>
        </w:rPr>
        <w:t xml:space="preserve">. İvanov Rusya’da sembolizmin önde gelen </w:t>
      </w:r>
      <w:r w:rsidRPr="00891D29">
        <w:rPr>
          <w:sz w:val="28"/>
          <w:szCs w:val="28"/>
        </w:rPr>
        <w:lastRenderedPageBreak/>
        <w:t xml:space="preserve">temsilcileridir. Rus sembolistleri daha sonra birinci (yaşlı) ve ikinci (genç) kuşak olarak iki gruba ayrılır. Birinci kuşak sembolistleri </w:t>
      </w:r>
      <w:proofErr w:type="spellStart"/>
      <w:r w:rsidRPr="00891D29">
        <w:rPr>
          <w:sz w:val="28"/>
          <w:szCs w:val="28"/>
        </w:rPr>
        <w:t>Merejkovski</w:t>
      </w:r>
      <w:proofErr w:type="spellEnd"/>
      <w:r w:rsidRPr="00891D29">
        <w:rPr>
          <w:sz w:val="28"/>
          <w:szCs w:val="28"/>
        </w:rPr>
        <w:t xml:space="preserve">, </w:t>
      </w:r>
      <w:proofErr w:type="spellStart"/>
      <w:r w:rsidRPr="00891D29">
        <w:rPr>
          <w:sz w:val="28"/>
          <w:szCs w:val="28"/>
        </w:rPr>
        <w:t>Bryusov</w:t>
      </w:r>
      <w:proofErr w:type="spellEnd"/>
      <w:r w:rsidRPr="00891D29">
        <w:rPr>
          <w:sz w:val="28"/>
          <w:szCs w:val="28"/>
        </w:rPr>
        <w:t xml:space="preserve">, </w:t>
      </w:r>
      <w:proofErr w:type="spellStart"/>
      <w:r w:rsidRPr="00891D29">
        <w:rPr>
          <w:sz w:val="28"/>
          <w:szCs w:val="28"/>
        </w:rPr>
        <w:t>Balmont</w:t>
      </w:r>
      <w:proofErr w:type="spellEnd"/>
      <w:r w:rsidRPr="00891D29">
        <w:rPr>
          <w:sz w:val="28"/>
          <w:szCs w:val="28"/>
        </w:rPr>
        <w:t xml:space="preserve">, </w:t>
      </w:r>
      <w:proofErr w:type="spellStart"/>
      <w:r w:rsidRPr="00891D29">
        <w:rPr>
          <w:sz w:val="28"/>
          <w:szCs w:val="28"/>
        </w:rPr>
        <w:t>Gippius</w:t>
      </w:r>
      <w:proofErr w:type="spellEnd"/>
      <w:r w:rsidRPr="00891D29">
        <w:rPr>
          <w:sz w:val="28"/>
          <w:szCs w:val="28"/>
        </w:rPr>
        <w:t xml:space="preserve"> ve </w:t>
      </w:r>
      <w:proofErr w:type="spellStart"/>
      <w:r w:rsidRPr="00891D29">
        <w:rPr>
          <w:sz w:val="28"/>
          <w:szCs w:val="28"/>
        </w:rPr>
        <w:t>Sologub</w:t>
      </w:r>
      <w:proofErr w:type="spellEnd"/>
      <w:r w:rsidRPr="00891D29">
        <w:rPr>
          <w:sz w:val="28"/>
          <w:szCs w:val="28"/>
        </w:rPr>
        <w:t xml:space="preserve"> temsil eder. İkinci kuşak sembolistlerin önde gelen temsilcileri </w:t>
      </w:r>
      <w:proofErr w:type="spellStart"/>
      <w:r w:rsidRPr="00891D29">
        <w:rPr>
          <w:sz w:val="28"/>
          <w:szCs w:val="28"/>
        </w:rPr>
        <w:t>Belıy</w:t>
      </w:r>
      <w:proofErr w:type="spellEnd"/>
      <w:r w:rsidRPr="00891D29">
        <w:rPr>
          <w:sz w:val="28"/>
          <w:szCs w:val="28"/>
        </w:rPr>
        <w:t xml:space="preserve">, </w:t>
      </w:r>
      <w:proofErr w:type="spellStart"/>
      <w:r w:rsidRPr="00891D29">
        <w:rPr>
          <w:sz w:val="28"/>
          <w:szCs w:val="28"/>
        </w:rPr>
        <w:t>Vyaç</w:t>
      </w:r>
      <w:proofErr w:type="spellEnd"/>
      <w:r w:rsidRPr="00891D29">
        <w:rPr>
          <w:sz w:val="28"/>
          <w:szCs w:val="28"/>
        </w:rPr>
        <w:t xml:space="preserve">. İvanov, Blok, </w:t>
      </w:r>
      <w:proofErr w:type="spellStart"/>
      <w:r w:rsidRPr="00891D29">
        <w:rPr>
          <w:sz w:val="28"/>
          <w:szCs w:val="28"/>
        </w:rPr>
        <w:t>Annenski</w:t>
      </w:r>
      <w:proofErr w:type="spellEnd"/>
      <w:r w:rsidRPr="00891D29">
        <w:rPr>
          <w:sz w:val="28"/>
          <w:szCs w:val="28"/>
        </w:rPr>
        <w:t xml:space="preserve"> ve </w:t>
      </w:r>
      <w:proofErr w:type="spellStart"/>
      <w:r w:rsidRPr="00891D29">
        <w:rPr>
          <w:sz w:val="28"/>
          <w:szCs w:val="28"/>
        </w:rPr>
        <w:t>Solovyev’dur</w:t>
      </w:r>
      <w:proofErr w:type="spellEnd"/>
      <w:r w:rsidRPr="00891D29">
        <w:rPr>
          <w:sz w:val="28"/>
          <w:szCs w:val="28"/>
        </w:rPr>
        <w:t xml:space="preserve">. “Mir </w:t>
      </w:r>
      <w:proofErr w:type="spellStart"/>
      <w:r w:rsidRPr="00891D29">
        <w:rPr>
          <w:sz w:val="28"/>
          <w:szCs w:val="28"/>
        </w:rPr>
        <w:t>iskusstva</w:t>
      </w:r>
      <w:proofErr w:type="spellEnd"/>
      <w:r w:rsidRPr="00891D29">
        <w:rPr>
          <w:sz w:val="28"/>
          <w:szCs w:val="28"/>
        </w:rPr>
        <w:t xml:space="preserve">” (1899-1904) sembolist yazarların ilk dergisidir. Daha sonra bu derginin yerini </w:t>
      </w:r>
      <w:proofErr w:type="spellStart"/>
      <w:r w:rsidRPr="00891D29">
        <w:rPr>
          <w:sz w:val="28"/>
          <w:szCs w:val="28"/>
        </w:rPr>
        <w:t>Bryusov’un</w:t>
      </w:r>
      <w:proofErr w:type="spellEnd"/>
      <w:r w:rsidRPr="00891D29">
        <w:rPr>
          <w:sz w:val="28"/>
          <w:szCs w:val="28"/>
        </w:rPr>
        <w:t xml:space="preserve"> yönetiminde çıkan “</w:t>
      </w:r>
      <w:proofErr w:type="spellStart"/>
      <w:r w:rsidRPr="00891D29">
        <w:rPr>
          <w:sz w:val="28"/>
          <w:szCs w:val="28"/>
        </w:rPr>
        <w:t>Vesı</w:t>
      </w:r>
      <w:proofErr w:type="spellEnd"/>
      <w:r w:rsidRPr="00891D29">
        <w:rPr>
          <w:sz w:val="28"/>
          <w:szCs w:val="28"/>
        </w:rPr>
        <w:t>” (1904-1909) alır.</w:t>
      </w:r>
      <w:r w:rsidRPr="00891D29">
        <w:rPr>
          <w:rStyle w:val="DipnotBavurusu"/>
          <w:sz w:val="28"/>
          <w:szCs w:val="28"/>
        </w:rPr>
        <w:footnoteReference w:id="8"/>
      </w:r>
      <w:r w:rsidRPr="00891D29">
        <w:rPr>
          <w:sz w:val="28"/>
          <w:szCs w:val="28"/>
        </w:rPr>
        <w:t xml:space="preserve"> </w:t>
      </w:r>
    </w:p>
    <w:p w:rsidR="00A454F5" w:rsidRPr="00891D29" w:rsidRDefault="00A454F5" w:rsidP="00891D29">
      <w:pPr>
        <w:spacing w:line="480" w:lineRule="auto"/>
        <w:ind w:firstLine="708"/>
        <w:jc w:val="both"/>
        <w:rPr>
          <w:sz w:val="28"/>
          <w:szCs w:val="28"/>
        </w:rPr>
      </w:pPr>
      <w:r w:rsidRPr="00891D29">
        <w:rPr>
          <w:sz w:val="28"/>
          <w:szCs w:val="28"/>
        </w:rPr>
        <w:t xml:space="preserve">Akımın son dönemlerinde ozanlar ayrı ayrı yapıtlar vermelerine karşın, sembolizmin Rusya’daki etkisi 1910 yılında kaybolmaya başlamıştır. </w:t>
      </w:r>
      <w:proofErr w:type="spellStart"/>
      <w:r w:rsidRPr="00891D29">
        <w:rPr>
          <w:sz w:val="28"/>
          <w:szCs w:val="28"/>
        </w:rPr>
        <w:t>Belıy’ın</w:t>
      </w:r>
      <w:proofErr w:type="spellEnd"/>
      <w:r w:rsidRPr="00891D29">
        <w:rPr>
          <w:sz w:val="28"/>
          <w:szCs w:val="28"/>
        </w:rPr>
        <w:t xml:space="preserve"> “rezil katar sürüsü”, Blok’un da “</w:t>
      </w:r>
      <w:proofErr w:type="spellStart"/>
      <w:r w:rsidRPr="00891D29">
        <w:rPr>
          <w:sz w:val="28"/>
          <w:szCs w:val="28"/>
        </w:rPr>
        <w:t>Balmont</w:t>
      </w:r>
      <w:proofErr w:type="spellEnd"/>
      <w:r w:rsidRPr="00891D29">
        <w:rPr>
          <w:sz w:val="28"/>
          <w:szCs w:val="28"/>
        </w:rPr>
        <w:t xml:space="preserve"> </w:t>
      </w:r>
      <w:proofErr w:type="spellStart"/>
      <w:r w:rsidRPr="00891D29">
        <w:rPr>
          <w:sz w:val="28"/>
          <w:szCs w:val="28"/>
        </w:rPr>
        <w:t>pantalonunun</w:t>
      </w:r>
      <w:proofErr w:type="spellEnd"/>
      <w:r w:rsidRPr="00891D29">
        <w:rPr>
          <w:sz w:val="28"/>
          <w:szCs w:val="28"/>
        </w:rPr>
        <w:t xml:space="preserve"> düğmeleri” olarak andığı bazı önemsiz öykünmeciler dışında, yeni isimler kazandıramayan akımda, “mutlak olarak” yer alan mistisizm ve gizem bir şablona dönüşmüştür.</w:t>
      </w:r>
      <w:r w:rsidRPr="00891D29">
        <w:rPr>
          <w:rStyle w:val="DipnotBavurusu"/>
          <w:sz w:val="28"/>
          <w:szCs w:val="28"/>
        </w:rPr>
        <w:t xml:space="preserve"> </w:t>
      </w:r>
      <w:r w:rsidRPr="00891D29">
        <w:rPr>
          <w:rStyle w:val="DipnotBavurusu"/>
          <w:sz w:val="28"/>
          <w:szCs w:val="28"/>
        </w:rPr>
        <w:footnoteReference w:id="9"/>
      </w:r>
    </w:p>
    <w:p w:rsidR="00097F55" w:rsidRPr="00891D29" w:rsidRDefault="00097F55" w:rsidP="00891D29">
      <w:pPr>
        <w:spacing w:line="480" w:lineRule="auto"/>
        <w:ind w:firstLine="708"/>
        <w:jc w:val="both"/>
        <w:rPr>
          <w:sz w:val="28"/>
          <w:szCs w:val="28"/>
        </w:rPr>
      </w:pPr>
      <w:r w:rsidRPr="00891D29">
        <w:rPr>
          <w:sz w:val="28"/>
          <w:szCs w:val="28"/>
        </w:rPr>
        <w:t xml:space="preserve">1890’lı yılların sonlarına doğru Rus şiirine </w:t>
      </w:r>
      <w:proofErr w:type="gramStart"/>
      <w:r w:rsidRPr="00891D29">
        <w:rPr>
          <w:sz w:val="28"/>
          <w:szCs w:val="28"/>
        </w:rPr>
        <w:t>hakim</w:t>
      </w:r>
      <w:proofErr w:type="gramEnd"/>
      <w:r w:rsidRPr="00891D29">
        <w:rPr>
          <w:sz w:val="28"/>
          <w:szCs w:val="28"/>
        </w:rPr>
        <w:t xml:space="preserve"> olan sembolizm, son derece karmaşık bir akım olarak yorumlanmakla birlikte, Rus edebiyat bilimcilerinin yaptığı çalışmalarla da henüz tamamıyla aydınlığa kavuşturulamadığı belirtilmektedir.</w:t>
      </w:r>
      <w:r w:rsidRPr="00891D29">
        <w:rPr>
          <w:rStyle w:val="DipnotBavurusu"/>
          <w:sz w:val="28"/>
          <w:szCs w:val="28"/>
        </w:rPr>
        <w:footnoteReference w:id="10"/>
      </w:r>
    </w:p>
    <w:sectPr w:rsidR="00097F55" w:rsidRPr="00891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EE3" w:rsidRDefault="00526EE3" w:rsidP="0030113A">
      <w:r>
        <w:separator/>
      </w:r>
    </w:p>
  </w:endnote>
  <w:endnote w:type="continuationSeparator" w:id="0">
    <w:p w:rsidR="00526EE3" w:rsidRDefault="00526EE3" w:rsidP="0030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EE3" w:rsidRDefault="00526EE3" w:rsidP="0030113A">
      <w:r>
        <w:separator/>
      </w:r>
    </w:p>
  </w:footnote>
  <w:footnote w:type="continuationSeparator" w:id="0">
    <w:p w:rsidR="00526EE3" w:rsidRDefault="00526EE3" w:rsidP="0030113A">
      <w:r>
        <w:continuationSeparator/>
      </w:r>
    </w:p>
  </w:footnote>
  <w:footnote w:id="1">
    <w:p w:rsidR="0030113A" w:rsidRDefault="0030113A" w:rsidP="0030113A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proofErr w:type="spellStart"/>
      <w:r>
        <w:rPr>
          <w:b/>
        </w:rPr>
        <w:t>Slovar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literaturovedçeskih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terminov</w:t>
      </w:r>
      <w:proofErr w:type="spellEnd"/>
      <w:r>
        <w:rPr>
          <w:b/>
        </w:rPr>
        <w:t xml:space="preserve">, </w:t>
      </w:r>
      <w:r>
        <w:t xml:space="preserve">red. L.N. </w:t>
      </w:r>
      <w:proofErr w:type="spellStart"/>
      <w:r>
        <w:t>Timofeyev</w:t>
      </w:r>
      <w:proofErr w:type="spellEnd"/>
      <w:r>
        <w:t xml:space="preserve">, </w:t>
      </w:r>
      <w:proofErr w:type="spellStart"/>
      <w:r>
        <w:t>S.V.Turayev</w:t>
      </w:r>
      <w:proofErr w:type="spellEnd"/>
      <w:r>
        <w:t xml:space="preserve">, </w:t>
      </w:r>
      <w:proofErr w:type="spellStart"/>
      <w:r>
        <w:t>Moskova</w:t>
      </w:r>
      <w:proofErr w:type="spellEnd"/>
      <w:r>
        <w:t>, “</w:t>
      </w:r>
      <w:proofErr w:type="spellStart"/>
      <w:r>
        <w:t>Prosveşeniye</w:t>
      </w:r>
      <w:proofErr w:type="spellEnd"/>
      <w:r>
        <w:t>”, 1974, s. 349.</w:t>
      </w:r>
    </w:p>
  </w:footnote>
  <w:footnote w:id="2">
    <w:p w:rsidR="0030113A" w:rsidRDefault="0030113A" w:rsidP="0030113A">
      <w:pPr>
        <w:pStyle w:val="DipnotMetni"/>
        <w:jc w:val="both"/>
      </w:pPr>
      <w:r>
        <w:rPr>
          <w:rStyle w:val="DipnotBavurusu"/>
        </w:rPr>
        <w:footnoteRef/>
      </w:r>
      <w:r>
        <w:t xml:space="preserve"> R. </w:t>
      </w:r>
      <w:proofErr w:type="spellStart"/>
      <w:r>
        <w:t>Wellek</w:t>
      </w:r>
      <w:proofErr w:type="spellEnd"/>
      <w:r>
        <w:t xml:space="preserve">; A. </w:t>
      </w:r>
      <w:proofErr w:type="spellStart"/>
      <w:r>
        <w:t>Varren</w:t>
      </w:r>
      <w:proofErr w:type="spellEnd"/>
      <w:r>
        <w:t xml:space="preserve">, </w:t>
      </w:r>
      <w:proofErr w:type="spellStart"/>
      <w:r>
        <w:rPr>
          <w:b/>
        </w:rPr>
        <w:t>Edebiyat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Teorisi</w:t>
      </w:r>
      <w:proofErr w:type="spellEnd"/>
      <w:r>
        <w:rPr>
          <w:b/>
        </w:rPr>
        <w:t xml:space="preserve">, </w:t>
      </w:r>
      <w:proofErr w:type="spellStart"/>
      <w:r>
        <w:t>çev</w:t>
      </w:r>
      <w:proofErr w:type="spellEnd"/>
      <w:r>
        <w:t xml:space="preserve">. </w:t>
      </w:r>
      <w:proofErr w:type="spellStart"/>
      <w:r>
        <w:t>Prof.Dr</w:t>
      </w:r>
      <w:proofErr w:type="spellEnd"/>
      <w:r>
        <w:t xml:space="preserve">. </w:t>
      </w:r>
      <w:proofErr w:type="spellStart"/>
      <w:r>
        <w:t>Ömer</w:t>
      </w:r>
      <w:proofErr w:type="spellEnd"/>
      <w:r>
        <w:t xml:space="preserve"> </w:t>
      </w:r>
      <w:proofErr w:type="spellStart"/>
      <w:r>
        <w:t>Faruk</w:t>
      </w:r>
      <w:proofErr w:type="spellEnd"/>
      <w:r>
        <w:t xml:space="preserve"> </w:t>
      </w:r>
      <w:proofErr w:type="spellStart"/>
      <w:r>
        <w:t>Huyugüzel</w:t>
      </w:r>
      <w:proofErr w:type="spellEnd"/>
      <w:r>
        <w:t xml:space="preserve">, İzmir, </w:t>
      </w:r>
      <w:proofErr w:type="spellStart"/>
      <w:r>
        <w:t>Akademi</w:t>
      </w:r>
      <w:proofErr w:type="spellEnd"/>
      <w:r>
        <w:t xml:space="preserve"> </w:t>
      </w:r>
      <w:proofErr w:type="spellStart"/>
      <w:r>
        <w:t>Kitabevi</w:t>
      </w:r>
      <w:proofErr w:type="spellEnd"/>
      <w:r>
        <w:t>, 1993, s. 162.</w:t>
      </w:r>
    </w:p>
  </w:footnote>
  <w:footnote w:id="3">
    <w:p w:rsidR="0030113A" w:rsidRDefault="0030113A" w:rsidP="0030113A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proofErr w:type="spellStart"/>
      <w:r>
        <w:rPr>
          <w:b/>
        </w:rPr>
        <w:t>Slovar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literaturovedçeskih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terminov</w:t>
      </w:r>
      <w:proofErr w:type="spellEnd"/>
      <w:r>
        <w:rPr>
          <w:b/>
        </w:rPr>
        <w:t>,</w:t>
      </w:r>
      <w:r>
        <w:t xml:space="preserve"> s. 348.</w:t>
      </w:r>
    </w:p>
  </w:footnote>
  <w:footnote w:id="4">
    <w:p w:rsidR="0030113A" w:rsidRDefault="0030113A" w:rsidP="0030113A">
      <w:pPr>
        <w:pStyle w:val="DipnotMetni"/>
        <w:jc w:val="both"/>
      </w:pPr>
      <w:r>
        <w:rPr>
          <w:rStyle w:val="DipnotBavurusu"/>
        </w:rPr>
        <w:footnoteRef/>
      </w:r>
      <w:r>
        <w:t xml:space="preserve"> R. </w:t>
      </w:r>
      <w:proofErr w:type="spellStart"/>
      <w:r>
        <w:t>Wellek</w:t>
      </w:r>
      <w:proofErr w:type="spellEnd"/>
      <w:r>
        <w:t xml:space="preserve">; A. </w:t>
      </w:r>
      <w:proofErr w:type="spellStart"/>
      <w:r>
        <w:t>Varren</w:t>
      </w:r>
      <w:proofErr w:type="spellEnd"/>
      <w:r>
        <w:t xml:space="preserve">, </w:t>
      </w:r>
      <w:proofErr w:type="spellStart"/>
      <w:r>
        <w:t>a.g.e</w:t>
      </w:r>
      <w:proofErr w:type="spellEnd"/>
      <w:r>
        <w:t>., s. 162.</w:t>
      </w:r>
    </w:p>
  </w:footnote>
  <w:footnote w:id="5">
    <w:p w:rsidR="0030113A" w:rsidRDefault="0030113A" w:rsidP="0030113A">
      <w:pPr>
        <w:pStyle w:val="DipnotMetni"/>
        <w:jc w:val="both"/>
      </w:pPr>
      <w:r>
        <w:rPr>
          <w:rStyle w:val="DipnotBavurusu"/>
        </w:rPr>
        <w:footnoteRef/>
      </w:r>
      <w:r>
        <w:t xml:space="preserve"> F. de Saussure, </w:t>
      </w:r>
      <w:proofErr w:type="spellStart"/>
      <w:r>
        <w:rPr>
          <w:b/>
        </w:rPr>
        <w:t>Genel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Dilbilim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Dersleri</w:t>
      </w:r>
      <w:proofErr w:type="spellEnd"/>
      <w:r>
        <w:rPr>
          <w:i/>
        </w:rPr>
        <w:t xml:space="preserve">, </w:t>
      </w:r>
      <w:r>
        <w:t>İstanbul, Multilingual, 1998, s. 113.</w:t>
      </w:r>
    </w:p>
  </w:footnote>
  <w:footnote w:id="6">
    <w:p w:rsidR="0030113A" w:rsidRDefault="0030113A" w:rsidP="0030113A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proofErr w:type="spellStart"/>
      <w:r>
        <w:rPr>
          <w:b/>
        </w:rPr>
        <w:t>Slovar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literaturovedçeskih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terminov</w:t>
      </w:r>
      <w:proofErr w:type="spellEnd"/>
      <w:r>
        <w:t>, s. 348.</w:t>
      </w:r>
    </w:p>
  </w:footnote>
  <w:footnote w:id="7">
    <w:p w:rsidR="00097F55" w:rsidRDefault="00097F55" w:rsidP="00097F55">
      <w:pPr>
        <w:pStyle w:val="DipnotMetni"/>
        <w:jc w:val="both"/>
      </w:pPr>
      <w:r>
        <w:rPr>
          <w:rStyle w:val="DipnotBavurusu"/>
        </w:rPr>
        <w:footnoteRef/>
      </w:r>
      <w:r>
        <w:t xml:space="preserve"> R. </w:t>
      </w:r>
      <w:proofErr w:type="spellStart"/>
      <w:r>
        <w:t>Wellek</w:t>
      </w:r>
      <w:proofErr w:type="spellEnd"/>
      <w:r>
        <w:t xml:space="preserve">; A. </w:t>
      </w:r>
      <w:proofErr w:type="spellStart"/>
      <w:r>
        <w:t>Varren</w:t>
      </w:r>
      <w:proofErr w:type="spellEnd"/>
      <w:r>
        <w:t xml:space="preserve">, </w:t>
      </w:r>
      <w:proofErr w:type="spellStart"/>
      <w:r>
        <w:t>a.g.e</w:t>
      </w:r>
      <w:proofErr w:type="spellEnd"/>
      <w:r>
        <w:t>., s. 162.</w:t>
      </w:r>
    </w:p>
    <w:p w:rsidR="00097F55" w:rsidRDefault="00097F55" w:rsidP="00097F55">
      <w:pPr>
        <w:pStyle w:val="DipnotMetni"/>
        <w:jc w:val="both"/>
      </w:pPr>
      <w:r>
        <w:rPr>
          <w:vertAlign w:val="superscript"/>
        </w:rPr>
        <w:t>7</w:t>
      </w:r>
      <w:r>
        <w:rPr>
          <w:b/>
          <w:vertAlign w:val="superscript"/>
        </w:rPr>
        <w:t xml:space="preserve"> </w:t>
      </w:r>
      <w:proofErr w:type="spellStart"/>
      <w:r>
        <w:rPr>
          <w:b/>
        </w:rPr>
        <w:t>Slovar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literaturovedçeskih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terminov</w:t>
      </w:r>
      <w:proofErr w:type="spellEnd"/>
      <w:r>
        <w:rPr>
          <w:b/>
        </w:rPr>
        <w:t>,</w:t>
      </w:r>
      <w:r>
        <w:t xml:space="preserve"> s. 348.</w:t>
      </w:r>
    </w:p>
    <w:p w:rsidR="00097F55" w:rsidRDefault="00097F55" w:rsidP="00097F55">
      <w:pPr>
        <w:pStyle w:val="DipnotMetni"/>
        <w:jc w:val="both"/>
      </w:pPr>
    </w:p>
  </w:footnote>
  <w:footnote w:id="8">
    <w:p w:rsidR="00097F55" w:rsidRDefault="00097F55" w:rsidP="00097F55">
      <w:pPr>
        <w:jc w:val="both"/>
        <w:rPr>
          <w:sz w:val="20"/>
        </w:rPr>
      </w:pPr>
      <w:r>
        <w:rPr>
          <w:rStyle w:val="DipnotBavurusu"/>
        </w:rPr>
        <w:footnoteRef/>
      </w:r>
      <w:r>
        <w:rPr>
          <w:sz w:val="20"/>
        </w:rPr>
        <w:t xml:space="preserve"> W. </w:t>
      </w:r>
      <w:proofErr w:type="spellStart"/>
      <w:r>
        <w:rPr>
          <w:sz w:val="20"/>
        </w:rPr>
        <w:t>Kasack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a.g.e</w:t>
      </w:r>
      <w:proofErr w:type="spellEnd"/>
      <w:proofErr w:type="gramStart"/>
      <w:r>
        <w:rPr>
          <w:sz w:val="20"/>
        </w:rPr>
        <w:t>.,</w:t>
      </w:r>
      <w:proofErr w:type="gramEnd"/>
      <w:r>
        <w:rPr>
          <w:sz w:val="20"/>
        </w:rPr>
        <w:t xml:space="preserve"> s.</w:t>
      </w:r>
      <w:r>
        <w:rPr>
          <w:b/>
          <w:sz w:val="20"/>
        </w:rPr>
        <w:t xml:space="preserve"> </w:t>
      </w:r>
      <w:r>
        <w:rPr>
          <w:sz w:val="20"/>
        </w:rPr>
        <w:t>329.</w:t>
      </w:r>
    </w:p>
    <w:p w:rsidR="00097F55" w:rsidRDefault="00097F55" w:rsidP="00097F55">
      <w:pPr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2 </w:t>
      </w:r>
      <w:r>
        <w:rPr>
          <w:sz w:val="20"/>
        </w:rPr>
        <w:t xml:space="preserve">İ.S. </w:t>
      </w:r>
      <w:proofErr w:type="spellStart"/>
      <w:r>
        <w:rPr>
          <w:sz w:val="20"/>
        </w:rPr>
        <w:t>Yejov</w:t>
      </w:r>
      <w:proofErr w:type="spellEnd"/>
      <w:r>
        <w:rPr>
          <w:sz w:val="20"/>
        </w:rPr>
        <w:t xml:space="preserve">; </w:t>
      </w:r>
      <w:proofErr w:type="spellStart"/>
      <w:proofErr w:type="gramStart"/>
      <w:r>
        <w:rPr>
          <w:sz w:val="20"/>
        </w:rPr>
        <w:t>Ye.İ</w:t>
      </w:r>
      <w:proofErr w:type="spellEnd"/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Şamurin</w:t>
      </w:r>
      <w:proofErr w:type="spellEnd"/>
      <w:r>
        <w:rPr>
          <w:sz w:val="20"/>
        </w:rPr>
        <w:t>, “</w:t>
      </w:r>
      <w:proofErr w:type="spellStart"/>
      <w:r>
        <w:rPr>
          <w:sz w:val="20"/>
        </w:rPr>
        <w:t>Antologiya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russkoy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liriki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pervoy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çetverti</w:t>
      </w:r>
      <w:proofErr w:type="spellEnd"/>
      <w:r>
        <w:rPr>
          <w:sz w:val="20"/>
        </w:rPr>
        <w:t xml:space="preserve"> XX </w:t>
      </w:r>
      <w:proofErr w:type="spellStart"/>
      <w:r>
        <w:rPr>
          <w:sz w:val="20"/>
        </w:rPr>
        <w:t>veka</w:t>
      </w:r>
      <w:proofErr w:type="spellEnd"/>
      <w:r>
        <w:rPr>
          <w:sz w:val="20"/>
        </w:rPr>
        <w:t xml:space="preserve">”, </w:t>
      </w:r>
      <w:proofErr w:type="spellStart"/>
      <w:r>
        <w:rPr>
          <w:b/>
          <w:sz w:val="20"/>
        </w:rPr>
        <w:t>Osnovnıye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teçeniya</w:t>
      </w:r>
      <w:proofErr w:type="spellEnd"/>
      <w:r>
        <w:rPr>
          <w:b/>
          <w:sz w:val="20"/>
        </w:rPr>
        <w:t xml:space="preserve"> v </w:t>
      </w:r>
      <w:proofErr w:type="spellStart"/>
      <w:r>
        <w:rPr>
          <w:b/>
          <w:sz w:val="20"/>
        </w:rPr>
        <w:t>dorevolyutsionnoy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russkoy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poezii</w:t>
      </w:r>
      <w:proofErr w:type="spellEnd"/>
      <w:r>
        <w:rPr>
          <w:b/>
          <w:sz w:val="20"/>
        </w:rPr>
        <w:t xml:space="preserve"> XX </w:t>
      </w:r>
      <w:proofErr w:type="spellStart"/>
      <w:r>
        <w:rPr>
          <w:b/>
          <w:sz w:val="20"/>
        </w:rPr>
        <w:t>veka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sz w:val="20"/>
        </w:rPr>
        <w:t>İzd</w:t>
      </w:r>
      <w:proofErr w:type="spellEnd"/>
      <w:r>
        <w:rPr>
          <w:sz w:val="20"/>
        </w:rPr>
        <w:t>. “</w:t>
      </w:r>
      <w:proofErr w:type="spellStart"/>
      <w:r>
        <w:rPr>
          <w:sz w:val="20"/>
        </w:rPr>
        <w:t>Amirus</w:t>
      </w:r>
      <w:proofErr w:type="spellEnd"/>
      <w:r>
        <w:rPr>
          <w:sz w:val="20"/>
        </w:rPr>
        <w:t>”, 1991, s. xix.</w:t>
      </w:r>
    </w:p>
  </w:footnote>
  <w:footnote w:id="9">
    <w:p w:rsidR="00A454F5" w:rsidRDefault="00A454F5" w:rsidP="00A454F5">
      <w:pPr>
        <w:pStyle w:val="DipnotMetni"/>
        <w:jc w:val="both"/>
      </w:pPr>
      <w:r>
        <w:rPr>
          <w:rStyle w:val="DipnotBavurusu"/>
        </w:rPr>
        <w:footnoteRef/>
      </w:r>
      <w:r>
        <w:t xml:space="preserve"> Dm. </w:t>
      </w:r>
      <w:proofErr w:type="spellStart"/>
      <w:r>
        <w:t>Hrenkov</w:t>
      </w:r>
      <w:proofErr w:type="spellEnd"/>
      <w:r>
        <w:t xml:space="preserve">, </w:t>
      </w:r>
      <w:r>
        <w:rPr>
          <w:b/>
        </w:rPr>
        <w:t xml:space="preserve">Anna </w:t>
      </w:r>
      <w:proofErr w:type="spellStart"/>
      <w:r>
        <w:rPr>
          <w:b/>
        </w:rPr>
        <w:t>Ahmatova</w:t>
      </w:r>
      <w:proofErr w:type="spellEnd"/>
      <w:r>
        <w:rPr>
          <w:b/>
        </w:rPr>
        <w:t xml:space="preserve">, </w:t>
      </w:r>
      <w:proofErr w:type="spellStart"/>
      <w:r>
        <w:t>Leninzdat</w:t>
      </w:r>
      <w:proofErr w:type="spellEnd"/>
      <w:r>
        <w:t>, 1989, s. 43.</w:t>
      </w:r>
    </w:p>
  </w:footnote>
  <w:footnote w:id="10">
    <w:p w:rsidR="00097F55" w:rsidRDefault="00097F55" w:rsidP="00097F55">
      <w:pPr>
        <w:pStyle w:val="DipnotMetni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3A"/>
    <w:rsid w:val="00097F55"/>
    <w:rsid w:val="00114BC5"/>
    <w:rsid w:val="00246D89"/>
    <w:rsid w:val="002967E8"/>
    <w:rsid w:val="0030113A"/>
    <w:rsid w:val="00526EE3"/>
    <w:rsid w:val="00891D29"/>
    <w:rsid w:val="00A454F5"/>
    <w:rsid w:val="00B01DAF"/>
    <w:rsid w:val="00CB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4E21C-A6E6-4E36-B6FB-C44B21D2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13A"/>
    <w:pPr>
      <w:spacing w:after="0" w:line="240" w:lineRule="auto"/>
    </w:pPr>
    <w:rPr>
      <w:rFonts w:ascii="Times New Roman" w:eastAsia="Times New Roman" w:hAnsi="Times New Roman" w:cs="Times New Roman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basedOn w:val="VarsaylanParagrafYazTipi"/>
    <w:semiHidden/>
    <w:rsid w:val="0030113A"/>
    <w:rPr>
      <w:vertAlign w:val="superscript"/>
    </w:rPr>
  </w:style>
  <w:style w:type="paragraph" w:styleId="DipnotMetni">
    <w:name w:val="footnote text"/>
    <w:basedOn w:val="Normal"/>
    <w:link w:val="DipnotMetniChar"/>
    <w:semiHidden/>
    <w:rsid w:val="0030113A"/>
    <w:rPr>
      <w:sz w:val="20"/>
      <w:lang w:val="en-US"/>
    </w:rPr>
  </w:style>
  <w:style w:type="character" w:customStyle="1" w:styleId="DipnotMetniChar">
    <w:name w:val="Dipnot Metni Char"/>
    <w:basedOn w:val="VarsaylanParagrafYazTipi"/>
    <w:link w:val="DipnotMetni"/>
    <w:semiHidden/>
    <w:rsid w:val="0030113A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GvdeMetni">
    <w:name w:val="Body Text"/>
    <w:basedOn w:val="Normal"/>
    <w:link w:val="GvdeMetniChar"/>
    <w:semiHidden/>
    <w:rsid w:val="00097F55"/>
    <w:pPr>
      <w:spacing w:line="480" w:lineRule="auto"/>
      <w:jc w:val="both"/>
    </w:pPr>
    <w:rPr>
      <w:sz w:val="24"/>
      <w:lang w:val="en-US"/>
    </w:rPr>
  </w:style>
  <w:style w:type="character" w:customStyle="1" w:styleId="GvdeMetniChar">
    <w:name w:val="Gövde Metni Char"/>
    <w:basedOn w:val="VarsaylanParagrafYazTipi"/>
    <w:link w:val="GvdeMetni"/>
    <w:semiHidden/>
    <w:rsid w:val="00097F55"/>
    <w:rPr>
      <w:rFonts w:ascii="Times New Roman" w:eastAsia="Times New Roman" w:hAnsi="Times New Roman" w:cs="Times New Roman"/>
      <w:sz w:val="24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Seyhan</cp:lastModifiedBy>
  <cp:revision>5</cp:revision>
  <dcterms:created xsi:type="dcterms:W3CDTF">2018-03-13T18:41:00Z</dcterms:created>
  <dcterms:modified xsi:type="dcterms:W3CDTF">2018-03-14T10:58:00Z</dcterms:modified>
</cp:coreProperties>
</file>