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3B" w:rsidRDefault="00C1623B" w:rsidP="00C1623B">
      <w:pPr>
        <w:widowControl w:val="0"/>
        <w:autoSpaceDE w:val="0"/>
        <w:autoSpaceDN w:val="0"/>
        <w:adjustRightInd w:val="0"/>
        <w:spacing w:after="240" w:line="360" w:lineRule="atLeast"/>
        <w:jc w:val="left"/>
        <w:rPr>
          <w:rFonts w:ascii="Times" w:hAnsi="Times" w:cs="Times"/>
          <w:lang w:val="en-US"/>
        </w:rPr>
      </w:pPr>
      <w:r>
        <w:rPr>
          <w:rFonts w:ascii="Times" w:hAnsi="Times" w:cs="Times"/>
          <w:sz w:val="32"/>
          <w:szCs w:val="32"/>
          <w:lang w:val="en-US"/>
        </w:rPr>
        <w:t xml:space="preserve">İslam Bilimleri ve Genel Özellikleri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Bu çerçevede Temel İslam Bilimleri olarak görülebilecek disiplinler, kelam, fıkıh ve fıkıh </w:t>
      </w:r>
      <w:bookmarkStart w:id="0" w:name="_GoBack"/>
      <w:bookmarkEnd w:id="0"/>
      <w:r>
        <w:rPr>
          <w:rFonts w:ascii="Palatino Linotype" w:hAnsi="Palatino Linotype" w:cs="Palatino Linotype"/>
          <w:sz w:val="32"/>
          <w:szCs w:val="32"/>
          <w:lang w:val="en-US"/>
        </w:rPr>
        <w:t xml:space="preserve">usulü, tefsir ve hadistir. Bu bilimler, din olarak doğrudan İslam’a ait inanç, ibadet, ahlak ve haram-helal konularını incelemektedir. Hz. Peygamber’in hayatı(siyer), daha sonraki İslam tarihi, tarih boyunca ortaya çıkan düşünce ekollerini inceleyen Mezhepler Tarihi, İslam alimlerinin hayatlarını ele alan rical tarihi ve dini metinlerin anlaşılmasında kullanılan Arap Dili ve Belagatı ve diğer bazı bilimler yardımcı İslam Bilimleri veya dolaylı dini bilimlerdir.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Bazı İslam bilginleri, klasik İslam bilimlerini, bir kısmının nakil yoluyla ve nesilden nesile aktarılarak gelmesinden hareketle naklî bilimler olarak da isimlendirmektedirler. Ancak naklî nitelemesi, aklînin karşıtı olarak kullanılmamaktadır. Çünkü nakli olarak gelen ilmi faaliyetlerin konuları arasında, akıl yoluyla tespit edilen ve aklı ilgilendiren pek çok husus bulunmaktadır. Dolayısıyla naklî nitelemesini bilginin kaynaklarından birisinin her hangi bir ayet veya hadise dayanması ve öğrenme yolunun nakil yoluyla olması şeklinde anlaşılmalıdır. İbn Haldun, nakli ilimlerle neyin kastedildiğini, Mukaddime adlı eserinde şu şekilde açıklamaktadır: “Bu ilimlerin her biri Peygamberden nakil ve rivayet edilen haberlere dayanır, bu ilimlerin esas ve usulleri öğrenilirken akla dayanılmaz, ancak meselelerini dal ve budaklarını asıllara bağlamak hususunda aklın yardımına başvurulur. Çünkü Peygamberler, dini hükümleri müminlerine bildirdikten </w:t>
      </w:r>
      <w:r>
        <w:rPr>
          <w:rFonts w:ascii="Palatino Linotype" w:hAnsi="Palatino Linotype" w:cs="Palatino Linotype"/>
          <w:sz w:val="32"/>
          <w:szCs w:val="32"/>
          <w:lang w:val="en-US"/>
        </w:rPr>
        <w:lastRenderedPageBreak/>
        <w:t xml:space="preserve">sonra arkası arkasına pek çok hadiseler cereyan etti, genel olan asıl ve nakiller, konuluş amaçları itibariyle, bu hadiselere şamil değildir. Asıl ve metnin açık ibaresi her hadiseyi içine almaz. Bundan dolayı, ardı sıra cereyan eden </w:t>
      </w:r>
    </w:p>
    <w:p w:rsidR="00C1623B" w:rsidRDefault="00C1623B" w:rsidP="00C1623B">
      <w:pPr>
        <w:widowControl w:val="0"/>
        <w:autoSpaceDE w:val="0"/>
        <w:autoSpaceDN w:val="0"/>
        <w:adjustRightInd w:val="0"/>
        <w:spacing w:after="240" w:line="320" w:lineRule="atLeast"/>
        <w:jc w:val="left"/>
        <w:rPr>
          <w:rFonts w:ascii="Times" w:hAnsi="Times" w:cs="Times"/>
          <w:lang w:val="en-US"/>
        </w:rPr>
      </w:pPr>
      <w:r>
        <w:rPr>
          <w:rFonts w:cs="Times New Roman"/>
          <w:sz w:val="26"/>
          <w:szCs w:val="26"/>
          <w:lang w:val="en-US"/>
        </w:rPr>
        <w:t xml:space="preserve">11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hadiselerle ilgili olan hükümler için, Hz. Peygamberden nakil ve rivayet edilen haberlere (ayet ve hadis) başvurulur. Bu hadiseler, ayet ve hadislerdeki hüküm ve kaidelerle mukayese edilerek kıyas yoluyla halledilir. Bu naklî olan ilimlerin her birinin temeli ve dayanağı Kur’an ayetlerinden ve Tanrı Elçisi’in hadis ve Sünnetlerinden ibaret olan Şer’i delillerdir. .. Tanrının kitabını ve Elçisinin hadislerini anlatmak ve açıklamak üzere oluşturulmuş ilimler dahi şerî ilimlerden sayılır. ( İbn Haldun, 1986, 2, 455-56)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İslam Bilimleri, İslâmın tabiatından çıkan, Kur’an ve Sünnet’ten kaynaklanan ilimlerdir. Bunlara nakli ilimler denilmesinin sebeplerinden biri, bu ilimlerle uğraşanların sadece nakil ve rivayette bulunmalarıdır. Örneğin genelde tefsirciler ve hadisciler, bilgiyi Resulullah’a kadar varan bir silsile içerisinde nesilden nesile aktarmakla ilgilenirler. Ancak, söz konusu asırda bu ilimlerin hepsine, ayet ve hadise dayalı naklî ilim denilmesi, pek yerinde bir isimlendirme olarak kabul edilemez. Çünkü bu asrın alimleri, görüşlerini ispatta akıl ve mantığa dayanmayı da caiz görüyorlardı. Hadisci akla ve mantığa aykırı olduğu için bir hadisin uydurma olduğunu söyleyebiliyordu. Müfti hakkında kesin delil bulunmayan fıkhî bir meselede, önceki müctehidlerin görüşüne uymasa bile kendi görüş ve ictihadına göre fetva veriyordu. Zaman zaman alimler, zahirde çelişik gibi görünen delillerin gelişinde özel bir halin gözetilmiş olmasına dayanarak onları tevil ediyorlardı. Onun için bu ilimlere, naklî ilimler yerine İslam Bilimleri demek daha uygun olacaktır. Kelam ilminin bu ilimler içerisinde sayılması ve kelamcıların ilmi hareket içerisinde en çok akıl unsurunu kullanmaları bunu desteklemektedir. (Doğuştan Günümüze Büyük İslâm Tarihi, trz., 3, 379)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Bu bağlamda, müslüman bilginler, Kur’an-ı Kerim’le ilgili ilimlerle diğer milletlerden alınan ilimleri birbirinden ayırarak birincisine naklî, dinî veya şerî ilimler, ikincilere ise, aklî veya hikemi/felsefî ilimler adını vermişlerdir. Bu sonunculara bazen yabancıların ilimleri yahut eski ilimler de denir. </w:t>
      </w:r>
    </w:p>
    <w:p w:rsidR="00C1623B" w:rsidRDefault="00C1623B" w:rsidP="00C1623B">
      <w:pPr>
        <w:widowControl w:val="0"/>
        <w:autoSpaceDE w:val="0"/>
        <w:autoSpaceDN w:val="0"/>
        <w:adjustRightInd w:val="0"/>
        <w:spacing w:after="240" w:line="360" w:lineRule="atLeast"/>
        <w:jc w:val="left"/>
        <w:rPr>
          <w:rFonts w:ascii="Times" w:hAnsi="Times" w:cs="Times"/>
          <w:lang w:val="en-US"/>
        </w:rPr>
      </w:pPr>
      <w:r>
        <w:rPr>
          <w:rFonts w:ascii="Times" w:hAnsi="Times" w:cs="Times"/>
          <w:sz w:val="32"/>
          <w:szCs w:val="32"/>
          <w:lang w:val="en-US"/>
        </w:rPr>
        <w:t xml:space="preserve">İslam Bilimlerinin Tasnifi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İnsanlık tarihinde büyük filozof ve düşünür olarak kabul edilen her bilgin, ilim ve ilimlerin tasnifi üzerine eserler yazmıştır. Müslüman bilginler de, bu konuda pek çok eser yazarak onlarca tasnif geliştirmişlerdir. Her bir bilgin, içinde bulunduğu siyasi ve toplumsal yapıya ve ihtiyaçlara göre ve döneminin ilim anlayışına göre, kendi dönemindeki ilimleri tasnif etmeye çalışmıştır. İslam düşüncesinde bu konudaki tasnifler incelendiğinde onlarca tasnif yapıldığı ve bu amaçla pek çok eser kaleme alındığı görülmektedir. Bu tasnifler genel olarak </w:t>
      </w:r>
    </w:p>
    <w:p w:rsidR="00C1623B" w:rsidRDefault="00C1623B" w:rsidP="00C1623B">
      <w:pPr>
        <w:widowControl w:val="0"/>
        <w:autoSpaceDE w:val="0"/>
        <w:autoSpaceDN w:val="0"/>
        <w:adjustRightInd w:val="0"/>
        <w:spacing w:after="240" w:line="320" w:lineRule="atLeast"/>
        <w:jc w:val="left"/>
        <w:rPr>
          <w:rFonts w:ascii="Times" w:hAnsi="Times" w:cs="Times"/>
          <w:lang w:val="en-US"/>
        </w:rPr>
      </w:pPr>
      <w:r>
        <w:rPr>
          <w:rFonts w:cs="Times New Roman"/>
          <w:sz w:val="26"/>
          <w:szCs w:val="26"/>
          <w:lang w:val="en-US"/>
        </w:rPr>
        <w:t xml:space="preserve">12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incelendiğinde ikili bir tasnif sistemi, bazen de üçlü bir tasnif sistemi kullanmıştır. Bu konuyu ele almadan önce İslam düşüncesinde kitap tasnif geleneğinin oluşmasını ele almakta fayda var.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İslam düşüncesinde, bilimlerin kurumsallaşmasını ve gelenek oluşturmasını sağlayan belli konu ve bilimlere ait eser yazma geleneği üç aşamada gelişmiştir. I. Devre: En kolay ve en basit devredir. Bu, bir görüşün, bir hadisin veya önemli bir sözün müstakil bir sahifede kaydedilmesinden ibarettir. II. Devre: Her hangi bir konudaki benzer görüşlerin veya Hz. Peygamber’in hadislerinin bir kitapta toplandığı, tedvin edildiği devredir. Bu arada, bir kitapta toplanan fıkha ve tefsire dair haberlere de rastlanır. III. Devre: Tasnifle zirveye ulaşılan devredir. Çünkü bu dönemde, görüşler ve yazılanlar sıralanmış, düzenlenmiş, belli konular ve özellikler çerçevesinde dizilmişlerdir. Müslümanlar bu üçüncü devreye Abbasilerin I. Asrında ulaştılar. Daha önceleri alimler ya hafızalarından konuşuyorlar veya münferit bir konudaki bilgileri bir risalede topluyorlar ya da ilmi, düzensiz sahifelerden naklediyorlardı. Bu durum, Hicri 143/760-61 yılına kadar devam etti. Müslüman bilginlerin hadis, fıkıh, tefsir, Arapça, Tarih ve Megazi kitaplarını tasnife başlamaları bu zamana rastlar. Bu devirlerdeki en tanınmış musannifler; Muvatta’ı telif eden İmam Malik, Siyer yazarı İbn İshak, Fıkıh ve re’yi tasnif eden İmam-ı A’zam Ebû Hanife’dir. Alimleri bu konuda yönlendiren kişi Ebu Ca’fer el-Mansur olmuştur. Mansur ilim ve edebiyata büyük önem veren birisiydi. Bu dönemde ilk kitap tasnif eden kimseler arasında İmam Abdilmelik b. Abdilaziz b. Cureyc el-Basrî ( 155), Ebû’n-Nasr Saîd b. Ebî Arûbe (155), Rabi’ b. Mes’ud b. Sabîh ( 160), Ma’mer b. Raşid (179), Sufyanu’s-Sevrî ( 161), Malik b. Enes ( 179) ve Abdullah b. Mübarek (181) bulunmaktadır. (Doğuştan Günümüze Büyük İslâm Tarihi, trz., 3, 377)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İslam düşüncesinde bilimlerin tasnif edilmeye başlandığı III.asrın sonları IV.asrın başlarına kadar pek çok siyasi ve itikadi mezhep oluşmuş ve farklı görüşleri destekleyen çok sayıda kelamî eser kaleme alınmıştı. İlimlerin tasnifinden önceki dönemde yazılan eserlerin büyük bir kısmı hadis, fıkıh ve kelamla ilgiliydi. İlim kavramının sıklıkla kullanıldığı ve merkezi bir yer işgal ettiği eserlerin başında hadis literatürü gelmektedir. Esasen ilk dönemde ilmin kapsamına Kur’an ve hadis hakkındaki bilgilerle fıkıhla ilgili dini bilginin girdiği anlaşılmaktadır. Fakat sonraları, Hadis taraftarlarınca, ilim kavramıyla daha çok hadis kastedilmeye başlandı. Fıkıh, kelam ve tefsir terimleri, daha sonraki dönemlerde, bağımsız bir bilim dalı anlamında teknik anlamlarını kazandılar. Aristo’nun eserlerinin Arapça’ya çevrilmesiyle birlikte, İslam dünyasında sistemli </w:t>
      </w:r>
    </w:p>
    <w:p w:rsidR="00C1623B" w:rsidRDefault="00C1623B" w:rsidP="00C1623B">
      <w:pPr>
        <w:widowControl w:val="0"/>
        <w:autoSpaceDE w:val="0"/>
        <w:autoSpaceDN w:val="0"/>
        <w:adjustRightInd w:val="0"/>
        <w:spacing w:after="240" w:line="320" w:lineRule="atLeast"/>
        <w:jc w:val="left"/>
        <w:rPr>
          <w:rFonts w:ascii="Times" w:hAnsi="Times" w:cs="Times"/>
          <w:lang w:val="en-US"/>
        </w:rPr>
      </w:pPr>
      <w:r>
        <w:rPr>
          <w:rFonts w:cs="Times New Roman"/>
          <w:sz w:val="26"/>
          <w:szCs w:val="26"/>
          <w:lang w:val="en-US"/>
        </w:rPr>
        <w:t xml:space="preserve">13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dini bilginin dışında Müslümanlara ait olmayan bilimlerin varlığı anlaşıldı ve felsefe ve diğer yabancı bilimler de ilimler sınıfına dahil edildi. Bu sayede, önceleri İslam dini hakkında bilgiler anlamında kullanılan ulûm terimi, bilimler, ilmi disiplinler manasına gelmeye başlamıştır. Kindi, beşerin entelektüel kapasitesiyle ortaya koyduğu ilimler için insan bilimleri (el-ulûmü’l-İnsaniyye) adını vermiş ve bu adla bir eser yazmıştır. (Kutluer, 2002, 22, 112)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Kindi, Cabir b. Hayyan ve Farabiye kadar, bize ulaşan eserleri esas alacak olursak, bütün bilgi türlerini ve alanlarını içeren bir bilgi tasnifine veya bilimler tasnifine yer verilmediği gibi bu konuda müstakil eserlerin de yazılmadığını görmekteyiz. Felsefenin İslam dünyasına girmesiyle birlikte, bu üç bilginin çabaları sonucu, yazdıkları eserlerde bilimlerin tasnif edildiği ve bu tasnif şemasında İslam Bilimlerine bağımsız bilimler olarak yer verilmeye başlandığına şahit olmaktayız. Bu konuda eser yazan müellifler ve meşhur eserleri şunlardır: Câbir b. Hayân (VIII. Asrın sonu IX. Asrın başları), </w:t>
      </w:r>
      <w:r>
        <w:rPr>
          <w:rFonts w:ascii="Times" w:hAnsi="Times" w:cs="Times"/>
          <w:sz w:val="32"/>
          <w:szCs w:val="32"/>
          <w:lang w:val="en-US"/>
        </w:rPr>
        <w:t xml:space="preserve">Risâle fî’l-hudûd; </w:t>
      </w:r>
      <w:r>
        <w:rPr>
          <w:rFonts w:ascii="Palatino Linotype" w:hAnsi="Palatino Linotype" w:cs="Palatino Linotype"/>
          <w:sz w:val="32"/>
          <w:szCs w:val="32"/>
          <w:lang w:val="en-US"/>
        </w:rPr>
        <w:t xml:space="preserve">Kindî (870), </w:t>
      </w:r>
      <w:r>
        <w:rPr>
          <w:rFonts w:ascii="Times" w:hAnsi="Times" w:cs="Times"/>
          <w:sz w:val="32"/>
          <w:szCs w:val="32"/>
          <w:lang w:val="en-US"/>
        </w:rPr>
        <w:t>Kitâb fî mâhiyeti’l-ilm ve aksâmihi</w:t>
      </w:r>
      <w:r>
        <w:rPr>
          <w:rFonts w:ascii="Palatino Linotype" w:hAnsi="Palatino Linotype" w:cs="Palatino Linotype"/>
          <w:sz w:val="32"/>
          <w:szCs w:val="32"/>
          <w:lang w:val="en-US"/>
        </w:rPr>
        <w:t xml:space="preserve">, </w:t>
      </w:r>
      <w:r>
        <w:rPr>
          <w:rFonts w:ascii="Times" w:hAnsi="Times" w:cs="Times"/>
          <w:sz w:val="32"/>
          <w:szCs w:val="32"/>
          <w:lang w:val="en-US"/>
        </w:rPr>
        <w:t xml:space="preserve">Kitâbu aksâmi’l-ilmi’l-İnsî; </w:t>
      </w:r>
      <w:r>
        <w:rPr>
          <w:rFonts w:ascii="Palatino Linotype" w:hAnsi="Palatino Linotype" w:cs="Palatino Linotype"/>
          <w:sz w:val="32"/>
          <w:szCs w:val="32"/>
          <w:lang w:val="en-US"/>
        </w:rPr>
        <w:t xml:space="preserve">Farabî (950), </w:t>
      </w:r>
      <w:r>
        <w:rPr>
          <w:rFonts w:ascii="Times" w:hAnsi="Times" w:cs="Times"/>
          <w:sz w:val="32"/>
          <w:szCs w:val="32"/>
          <w:lang w:val="en-US"/>
        </w:rPr>
        <w:t>İhsâu’l- ulûm</w:t>
      </w:r>
      <w:r>
        <w:rPr>
          <w:rFonts w:ascii="Palatino Linotype" w:hAnsi="Palatino Linotype" w:cs="Palatino Linotype"/>
          <w:sz w:val="32"/>
          <w:szCs w:val="32"/>
          <w:lang w:val="en-US"/>
        </w:rPr>
        <w:t xml:space="preserve">; Âmirî ( 992), </w:t>
      </w:r>
      <w:r>
        <w:rPr>
          <w:rFonts w:ascii="Times" w:hAnsi="Times" w:cs="Times"/>
          <w:sz w:val="32"/>
          <w:szCs w:val="32"/>
          <w:lang w:val="en-US"/>
        </w:rPr>
        <w:t xml:space="preserve">el-İ’lâm bi menâkıbı’l-islâm; </w:t>
      </w:r>
      <w:r>
        <w:rPr>
          <w:rFonts w:ascii="Palatino Linotype" w:hAnsi="Palatino Linotype" w:cs="Palatino Linotype"/>
          <w:sz w:val="32"/>
          <w:szCs w:val="32"/>
          <w:lang w:val="en-US"/>
        </w:rPr>
        <w:t xml:space="preserve">el-Harezmî (997), </w:t>
      </w:r>
      <w:r>
        <w:rPr>
          <w:rFonts w:ascii="Times" w:hAnsi="Times" w:cs="Times"/>
          <w:sz w:val="32"/>
          <w:szCs w:val="32"/>
          <w:lang w:val="en-US"/>
        </w:rPr>
        <w:t xml:space="preserve">Mefâtihu’l-ulûm; </w:t>
      </w:r>
      <w:r>
        <w:rPr>
          <w:rFonts w:ascii="Palatino Linotype" w:hAnsi="Palatino Linotype" w:cs="Palatino Linotype"/>
          <w:sz w:val="32"/>
          <w:szCs w:val="32"/>
          <w:lang w:val="en-US"/>
        </w:rPr>
        <w:t>İbn Ferigun</w:t>
      </w:r>
      <w:r>
        <w:rPr>
          <w:rFonts w:ascii="Times" w:hAnsi="Times" w:cs="Times"/>
          <w:sz w:val="32"/>
          <w:szCs w:val="32"/>
          <w:lang w:val="en-US"/>
        </w:rPr>
        <w:t xml:space="preserve">, Cevâmiu’l-ulûm; </w:t>
      </w:r>
      <w:r>
        <w:rPr>
          <w:rFonts w:ascii="Palatino Linotype" w:hAnsi="Palatino Linotype" w:cs="Palatino Linotype"/>
          <w:sz w:val="32"/>
          <w:szCs w:val="32"/>
          <w:lang w:val="en-US"/>
        </w:rPr>
        <w:t xml:space="preserve">İbn Sinâ (1037), </w:t>
      </w:r>
      <w:r>
        <w:rPr>
          <w:rFonts w:ascii="Times" w:hAnsi="Times" w:cs="Times"/>
          <w:sz w:val="32"/>
          <w:szCs w:val="32"/>
          <w:lang w:val="en-US"/>
        </w:rPr>
        <w:t xml:space="preserve">Aksâmu’l-Ulûmi’l-Akliyye; </w:t>
      </w:r>
      <w:r>
        <w:rPr>
          <w:rFonts w:ascii="Palatino Linotype" w:hAnsi="Palatino Linotype" w:cs="Palatino Linotype"/>
          <w:sz w:val="32"/>
          <w:szCs w:val="32"/>
          <w:lang w:val="en-US"/>
        </w:rPr>
        <w:t xml:space="preserve">el-Âmiri, </w:t>
      </w:r>
      <w:r>
        <w:rPr>
          <w:rFonts w:ascii="Times" w:hAnsi="Times" w:cs="Times"/>
          <w:sz w:val="32"/>
          <w:szCs w:val="32"/>
          <w:lang w:val="en-US"/>
        </w:rPr>
        <w:t>el- İ’lâm bi menâkıbı’l-İslam</w:t>
      </w:r>
      <w:r>
        <w:rPr>
          <w:rFonts w:ascii="Palatino Linotype" w:hAnsi="Palatino Linotype" w:cs="Palatino Linotype"/>
          <w:sz w:val="32"/>
          <w:szCs w:val="32"/>
          <w:lang w:val="en-US"/>
        </w:rPr>
        <w:t xml:space="preserve">; İbn Nedîm (1046), </w:t>
      </w:r>
      <w:r>
        <w:rPr>
          <w:rFonts w:ascii="Times" w:hAnsi="Times" w:cs="Times"/>
          <w:sz w:val="32"/>
          <w:szCs w:val="32"/>
          <w:lang w:val="en-US"/>
        </w:rPr>
        <w:t>el-Fihrist;</w:t>
      </w:r>
      <w:r>
        <w:rPr>
          <w:rFonts w:ascii="Palatino Linotype" w:hAnsi="Palatino Linotype" w:cs="Palatino Linotype"/>
          <w:sz w:val="32"/>
          <w:szCs w:val="32"/>
          <w:lang w:val="en-US"/>
        </w:rPr>
        <w:t xml:space="preserve">Ebû Hayân et-Tevhîdî, </w:t>
      </w:r>
      <w:r>
        <w:rPr>
          <w:rFonts w:ascii="Times" w:hAnsi="Times" w:cs="Times"/>
          <w:sz w:val="32"/>
          <w:szCs w:val="32"/>
          <w:lang w:val="en-US"/>
        </w:rPr>
        <w:t>Risâle fi’l-ulûm</w:t>
      </w:r>
      <w:r>
        <w:rPr>
          <w:rFonts w:ascii="Palatino Linotype" w:hAnsi="Palatino Linotype" w:cs="Palatino Linotype"/>
          <w:sz w:val="32"/>
          <w:szCs w:val="32"/>
          <w:lang w:val="en-US"/>
        </w:rPr>
        <w:t xml:space="preserve">; </w:t>
      </w:r>
      <w:r>
        <w:rPr>
          <w:rFonts w:ascii="Times" w:hAnsi="Times" w:cs="Times"/>
          <w:sz w:val="32"/>
          <w:szCs w:val="32"/>
          <w:lang w:val="en-US"/>
        </w:rPr>
        <w:t xml:space="preserve">İhvânu Safâ Risaleleri </w:t>
      </w:r>
      <w:r>
        <w:rPr>
          <w:rFonts w:ascii="Palatino Linotype" w:hAnsi="Palatino Linotype" w:cs="Palatino Linotype"/>
          <w:sz w:val="32"/>
          <w:szCs w:val="32"/>
          <w:lang w:val="en-US"/>
        </w:rPr>
        <w:t xml:space="preserve">(X.Yüzyıl); İbn Hazm ( 1064), </w:t>
      </w:r>
      <w:r>
        <w:rPr>
          <w:rFonts w:ascii="Times" w:hAnsi="Times" w:cs="Times"/>
          <w:sz w:val="32"/>
          <w:szCs w:val="32"/>
          <w:lang w:val="en-US"/>
        </w:rPr>
        <w:t>Merâtibu’l-ulûm</w:t>
      </w:r>
      <w:r>
        <w:rPr>
          <w:rFonts w:ascii="Palatino Linotype" w:hAnsi="Palatino Linotype" w:cs="Palatino Linotype"/>
          <w:sz w:val="32"/>
          <w:szCs w:val="32"/>
          <w:lang w:val="en-US"/>
        </w:rPr>
        <w:t xml:space="preserve">; el- Beyzâvî, </w:t>
      </w:r>
      <w:r>
        <w:rPr>
          <w:rFonts w:ascii="Times" w:hAnsi="Times" w:cs="Times"/>
          <w:sz w:val="32"/>
          <w:szCs w:val="32"/>
          <w:lang w:val="en-US"/>
        </w:rPr>
        <w:t>Risâle fî mevzûati’l-ulûm ve tarîfiha</w:t>
      </w:r>
      <w:r>
        <w:rPr>
          <w:rFonts w:ascii="Palatino Linotype" w:hAnsi="Palatino Linotype" w:cs="Palatino Linotype"/>
          <w:sz w:val="32"/>
          <w:szCs w:val="32"/>
          <w:lang w:val="en-US"/>
        </w:rPr>
        <w:t xml:space="preserve">; İbn Hind, </w:t>
      </w:r>
      <w:r>
        <w:rPr>
          <w:rFonts w:ascii="Times" w:hAnsi="Times" w:cs="Times"/>
          <w:sz w:val="32"/>
          <w:szCs w:val="32"/>
          <w:lang w:val="en-US"/>
        </w:rPr>
        <w:t>Tezkire bi cumali’l-felsefe</w:t>
      </w:r>
      <w:r>
        <w:rPr>
          <w:rFonts w:ascii="Palatino Linotype" w:hAnsi="Palatino Linotype" w:cs="Palatino Linotype"/>
          <w:sz w:val="32"/>
          <w:szCs w:val="32"/>
          <w:lang w:val="en-US"/>
        </w:rPr>
        <w:t xml:space="preserve">; Gazzalî (1111), </w:t>
      </w:r>
      <w:r>
        <w:rPr>
          <w:rFonts w:ascii="Times" w:hAnsi="Times" w:cs="Times"/>
          <w:sz w:val="32"/>
          <w:szCs w:val="32"/>
          <w:lang w:val="en-US"/>
        </w:rPr>
        <w:t>İhya</w:t>
      </w:r>
      <w:r>
        <w:rPr>
          <w:rFonts w:ascii="Palatino Linotype" w:hAnsi="Palatino Linotype" w:cs="Palatino Linotype"/>
          <w:sz w:val="32"/>
          <w:szCs w:val="32"/>
          <w:lang w:val="en-US"/>
        </w:rPr>
        <w:t xml:space="preserve">; el-Abyûrî, </w:t>
      </w:r>
      <w:r>
        <w:rPr>
          <w:rFonts w:ascii="Times" w:hAnsi="Times" w:cs="Times"/>
          <w:sz w:val="32"/>
          <w:szCs w:val="32"/>
          <w:lang w:val="en-US"/>
        </w:rPr>
        <w:t>Tabakâtu’l-Ulûm</w:t>
      </w:r>
      <w:r>
        <w:rPr>
          <w:rFonts w:ascii="Palatino Linotype" w:hAnsi="Palatino Linotype" w:cs="Palatino Linotype"/>
          <w:sz w:val="32"/>
          <w:szCs w:val="32"/>
          <w:lang w:val="en-US"/>
        </w:rPr>
        <w:t xml:space="preserve">; İbn Haldûn ( 1406), </w:t>
      </w:r>
      <w:r>
        <w:rPr>
          <w:rFonts w:ascii="Times" w:hAnsi="Times" w:cs="Times"/>
          <w:sz w:val="32"/>
          <w:szCs w:val="32"/>
          <w:lang w:val="en-US"/>
        </w:rPr>
        <w:t xml:space="preserve">Mukaddime; </w:t>
      </w:r>
      <w:r>
        <w:rPr>
          <w:rFonts w:ascii="Palatino Linotype" w:hAnsi="Palatino Linotype" w:cs="Palatino Linotype"/>
          <w:sz w:val="32"/>
          <w:szCs w:val="32"/>
          <w:lang w:val="en-US"/>
        </w:rPr>
        <w:t xml:space="preserve">Taşköprüzade ( 1560), </w:t>
      </w:r>
      <w:r>
        <w:rPr>
          <w:rFonts w:ascii="Times" w:hAnsi="Times" w:cs="Times"/>
          <w:sz w:val="32"/>
          <w:szCs w:val="32"/>
          <w:lang w:val="en-US"/>
        </w:rPr>
        <w:t>Miftâhu’s-saade</w:t>
      </w:r>
      <w:r>
        <w:rPr>
          <w:rFonts w:ascii="Palatino Linotype" w:hAnsi="Palatino Linotype" w:cs="Palatino Linotype"/>
          <w:sz w:val="32"/>
          <w:szCs w:val="32"/>
          <w:lang w:val="en-US"/>
        </w:rPr>
        <w:t xml:space="preserve">; Hacı Halife ( 1656), </w:t>
      </w:r>
      <w:r>
        <w:rPr>
          <w:rFonts w:ascii="Times" w:hAnsi="Times" w:cs="Times"/>
          <w:sz w:val="32"/>
          <w:szCs w:val="32"/>
          <w:lang w:val="en-US"/>
        </w:rPr>
        <w:t>Keşfu’z-Zunûn</w:t>
      </w:r>
      <w:r>
        <w:rPr>
          <w:rFonts w:ascii="Palatino Linotype" w:hAnsi="Palatino Linotype" w:cs="Palatino Linotype"/>
          <w:sz w:val="32"/>
          <w:szCs w:val="32"/>
          <w:lang w:val="en-US"/>
        </w:rPr>
        <w:t xml:space="preserve">; et- Tehanevî ( 1745), </w:t>
      </w:r>
      <w:r>
        <w:rPr>
          <w:rFonts w:ascii="Times" w:hAnsi="Times" w:cs="Times"/>
          <w:sz w:val="32"/>
          <w:szCs w:val="32"/>
          <w:lang w:val="en-US"/>
        </w:rPr>
        <w:t>Keşşâfu istilâhâti’l-fünûn</w:t>
      </w:r>
      <w:r>
        <w:rPr>
          <w:rFonts w:ascii="Palatino Linotype" w:hAnsi="Palatino Linotype" w:cs="Palatino Linotype"/>
          <w:sz w:val="32"/>
          <w:szCs w:val="32"/>
          <w:lang w:val="en-US"/>
        </w:rPr>
        <w:t xml:space="preserve">; Kutbuddîn Şirâzî (1311), </w:t>
      </w:r>
      <w:r>
        <w:rPr>
          <w:rFonts w:ascii="Times" w:hAnsi="Times" w:cs="Times"/>
          <w:sz w:val="32"/>
          <w:szCs w:val="32"/>
          <w:lang w:val="en-US"/>
        </w:rPr>
        <w:t xml:space="preserve">Durrat al-Tâj li ghurrat al-Dîbâj fi’l-Hikma ( Pearls dwof the Crown, the Best Introduction to Wisdom); </w:t>
      </w:r>
      <w:r>
        <w:rPr>
          <w:rFonts w:ascii="Palatino Linotype" w:hAnsi="Palatino Linotype" w:cs="Palatino Linotype"/>
          <w:sz w:val="32"/>
          <w:szCs w:val="32"/>
          <w:lang w:val="en-US"/>
        </w:rPr>
        <w:t xml:space="preserve">Molla Lütfi, </w:t>
      </w:r>
      <w:r>
        <w:rPr>
          <w:rFonts w:ascii="Times" w:hAnsi="Times" w:cs="Times"/>
          <w:sz w:val="32"/>
          <w:szCs w:val="32"/>
          <w:lang w:val="en-US"/>
        </w:rPr>
        <w:t xml:space="preserve">Risâle fî ulûmi‘ş-şer’iyye ve’l-arabiyye; </w:t>
      </w:r>
      <w:r>
        <w:rPr>
          <w:rFonts w:ascii="Palatino Linotype" w:hAnsi="Palatino Linotype" w:cs="Palatino Linotype"/>
          <w:sz w:val="32"/>
          <w:szCs w:val="32"/>
          <w:lang w:val="en-US"/>
        </w:rPr>
        <w:t>Nevî</w:t>
      </w:r>
      <w:r>
        <w:rPr>
          <w:rFonts w:ascii="Times" w:hAnsi="Times" w:cs="Times"/>
          <w:sz w:val="32"/>
          <w:szCs w:val="32"/>
          <w:lang w:val="en-US"/>
        </w:rPr>
        <w:t xml:space="preserve">, Netâyicü’l-fünûn; </w:t>
      </w:r>
      <w:r>
        <w:rPr>
          <w:rFonts w:ascii="Palatino Linotype" w:hAnsi="Palatino Linotype" w:cs="Palatino Linotype"/>
          <w:sz w:val="32"/>
          <w:szCs w:val="32"/>
          <w:lang w:val="en-US"/>
        </w:rPr>
        <w:t xml:space="preserve">Saçaklızade, </w:t>
      </w:r>
      <w:r>
        <w:rPr>
          <w:rFonts w:ascii="Times" w:hAnsi="Times" w:cs="Times"/>
          <w:sz w:val="32"/>
          <w:szCs w:val="32"/>
          <w:lang w:val="en-US"/>
        </w:rPr>
        <w:t xml:space="preserve">Tertibü’l-ulûm.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Bilimler tasnifiyle ilgili eserler incelendiğinde bilimler genelde, öznesi, amacı, kaynağı, kökenleri, dili, bilgi alanları, kullandığı yöntemler, işlevleri veya özelliklerine göre ikili bir tasnifle, nadiren de üçlü, dörtlü veya yedili tasnifle ele alınmaktadır. İlimler tasnif edilirken kimi zaman konu, gaye ve yönteme göre birbiri arasındaki ilgiyi göstermek, kimi zaman da ilimleri öğrenmede mantıklı bir yöntem izlenmesi için kolaylık sağlayacak sıralama tercih edilmiştir. ( Vural, 2004, 185) Bu tasnif şemasında İslam bilimleri, bağımsız bilimler olarak veya diğer bilimlerin altında çeşitli adlarla yer almaktadır. Bu ikili tasnifler, Yüce İlimler- Yardımcı/Aşağı İlimler; Pratik İlimler-Nazari İlimler; Akli İlimler-Dinî İlimler; Dünyevî İlimler-Dinî İlimler; Aklî İlimler-Şerî İlimleri; Şer’î İlimler- Şer’î olmayan </w:t>
      </w:r>
    </w:p>
    <w:p w:rsidR="00C1623B" w:rsidRDefault="00C1623B" w:rsidP="00C1623B">
      <w:pPr>
        <w:widowControl w:val="0"/>
        <w:autoSpaceDE w:val="0"/>
        <w:autoSpaceDN w:val="0"/>
        <w:adjustRightInd w:val="0"/>
        <w:spacing w:after="240" w:line="320" w:lineRule="atLeast"/>
        <w:jc w:val="left"/>
        <w:rPr>
          <w:rFonts w:ascii="Times" w:hAnsi="Times" w:cs="Times"/>
          <w:lang w:val="en-US"/>
        </w:rPr>
      </w:pPr>
      <w:r>
        <w:rPr>
          <w:rFonts w:cs="Times New Roman"/>
          <w:sz w:val="26"/>
          <w:szCs w:val="26"/>
          <w:lang w:val="en-US"/>
        </w:rPr>
        <w:t xml:space="preserve">14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ilimler; Arabî İlimler-Acemî İlimler; Dinî İlimler-Felsefî İlimler; Millî ( şerî-dinî)- hikemî ( Felsefî) ilimler; İlâhî İlimler-İnsanî İlimler şeklinde; üçlü tasnifler ise, duyma ile tahsil edilen ilimler, Nazari/Akli İlimler ve Şer’i ve Fıkhî Bilimler ya da Sırf Aklî ilimler, Sırf Naklî İlimler ve Fıkıh ve Fıkıh Usûlü gibi hem Aklî hem Naklî İlimler (aklın ve şerin/reyin ve şerin birleştiği ilimler) şeklinde yapılmaktadır. Burada zikredilenler, konuyla ilgili yapılan bazı ikili ve üçlü tasniflerdir. Bu tasnifleri artırmak mümkündür. Bütün bu tasnif şemaları incelendiğinde İslam bilimlerinin bu şemadaki yeri ile ilgili şöyle bir genel sonuç çıkarılabilir: İslam bilimlerinin ikili tasnifte hangi isimle yer alacağı ve hangi alt bilimleri kapsadığı konusunda ortak bir kanaat olmayıp dönemden döneme ve yazardan yazara farklılık arzetmektedir. Bazılarında İslam Bilimlerine meşruluk kazandırılmak için Akli veya Medeni bilimler altında zikredilirken bazısında, Felsefî bilimlere meşruluk kazandırmak için felsefe, mantık ve diğer bazı yabancı bilimler dini bilimler altında zikredilebilmektedir. Bir kısmında kelam, dinî ilimler dışında bırakılmaktadır. Tasavvuf’un İslam bilimleri arasında zikredilmesi konusunda görüş birliği yoktur. Tasnifler, yazarın meslekî veya mezhebî eğilimi ile içinde yaşadığı dini-siyasi atmosfere göre şekillenmiştir. Bununla birlikte tasnifler, bütün bilgileri, İslam’ın dünya görüşü çerçevesinde organik bir bütünlük içerisinde toplamaya yönelik birer teşebbüs olarak görülebilir. ( Bakar, 1992, 22)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İslam Bilimlerinden söz edilirken, Din Bilimleri (el-Ulûmu’d-dîniyye), Naklî bilimler (Ulûmu’n-Nakliyye), Arap Bilimleri (el-Ulûmu’l-Arabiyye) veya Şer’î Bilimler (el-Ulûmü’ş-Şer’iyye) ve benzeri terimler kullanılır. Bu ilimlere gelenekçi çizgiyi takip eden kurumsallaşmış eğitimin içinde yer verilmiştir. Bu anlayış, Müslümanlar tarafından kabul edilmiş ve servet sahibi Müslümanlarca maddi olarak desteklenmiştir. İslamî İlimler ile yardımcı bilimler, mescidler/camilerin yanı sıra daha sonra gelişen medrese, ribat, darulhadis ve darulkur’an gibi kurumlarda okutulmuştur. Bunlar, tefsir ilmi ( Kur’an yorumu), kıraat ilmi ( Kur’an’ın farklı okunuşlarıyla ilgili bilim dalı), hadis ilmi/ilimleri, fıkıh usulü ilmi (hukuk teorisi ve metodolojisi bilimi), fıkıh ilmi ( hukuk bilimi) ve usuluddin( dinin temel esasları ve kaynakları) ilmidir. (Makdisî, 2004, 138-9)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İlimlerin taksimi veya ulaşılabilir ve öğrenmeye değer görülen bütün bilgi dallarının sistematik olarak tasnifi IV/X. Yüzyılda sık sık rastlanan bir hadise haline gelmişti. Yaklaşık 366/976’da Harizmî tarafından, daha sonra Cabir b. Hayan, Farabî, Gazâlî ve diğer İslam bilginlerince yapılan tasnifler, -her ne kadar Müslümanların ilmi faaliyetlerinin bütün sahalarını yansıtmadığından eksik olsa da- İslam İlimlerinin yalnızca tertibini değil, menşeini de kendine özgü bir </w:t>
      </w:r>
    </w:p>
    <w:p w:rsidR="00C1623B" w:rsidRDefault="00C1623B" w:rsidP="00C1623B">
      <w:pPr>
        <w:widowControl w:val="0"/>
        <w:autoSpaceDE w:val="0"/>
        <w:autoSpaceDN w:val="0"/>
        <w:adjustRightInd w:val="0"/>
        <w:spacing w:after="240" w:line="320" w:lineRule="atLeast"/>
        <w:jc w:val="left"/>
        <w:rPr>
          <w:rFonts w:ascii="Times" w:hAnsi="Times" w:cs="Times"/>
          <w:lang w:val="en-US"/>
        </w:rPr>
      </w:pPr>
      <w:r>
        <w:rPr>
          <w:rFonts w:cs="Times New Roman"/>
          <w:sz w:val="26"/>
          <w:szCs w:val="26"/>
          <w:lang w:val="en-US"/>
        </w:rPr>
        <w:t xml:space="preserve">15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berraklıkla göstermekte ve bilimleri seçip düzene sokmanın mantığını telkin etmektedir. Ancak bu tasnifler içerisinde en ayrıntılı ve tutarlısı, -Kelam ilminin alt dallarını tasnif etmemesi açısından eksikse de- Taşköprüzade’nin Şer’î/dinî bilimler tasnifidir.( Taşköprüzade</w:t>
      </w:r>
      <w:r>
        <w:rPr>
          <w:rFonts w:ascii="Times" w:hAnsi="Times" w:cs="Times"/>
          <w:sz w:val="32"/>
          <w:szCs w:val="32"/>
          <w:lang w:val="en-US"/>
        </w:rPr>
        <w:t xml:space="preserve">, </w:t>
      </w:r>
      <w:r>
        <w:rPr>
          <w:rFonts w:ascii="Palatino Linotype" w:hAnsi="Palatino Linotype" w:cs="Palatino Linotype"/>
          <w:sz w:val="32"/>
          <w:szCs w:val="32"/>
          <w:lang w:val="en-US"/>
        </w:rPr>
        <w:t>1, 20-25</w:t>
      </w:r>
      <w:r>
        <w:rPr>
          <w:rFonts w:ascii="Times" w:hAnsi="Times" w:cs="Times"/>
          <w:sz w:val="32"/>
          <w:szCs w:val="32"/>
          <w:lang w:val="en-US"/>
        </w:rPr>
        <w:t xml:space="preserve">) </w:t>
      </w:r>
      <w:r>
        <w:rPr>
          <w:rFonts w:ascii="Palatino Linotype" w:hAnsi="Palatino Linotype" w:cs="Palatino Linotype"/>
          <w:sz w:val="32"/>
          <w:szCs w:val="32"/>
          <w:lang w:val="en-US"/>
        </w:rPr>
        <w:t xml:space="preserve">Bunların ayrıntılarına girmek istemiyoruz. Klasik kaynaklarda İslam bilimlerinin nasıl sınıflandırıldığını tek tek ele almak yerine, bu konuda en çok etki bırakan Farabi ve Gazzali’nin İslam Bilimlerini tasnifini ele alacağız.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Farabî(950)’nin Bilimler Tasnifi Ve Dinî Bilimler </w:t>
      </w:r>
    </w:p>
    <w:p w:rsidR="00C1623B" w:rsidRDefault="00C1623B" w:rsidP="00C1623B">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Farâbî, İslam bilim tarihinde ilimler tasnifi yapan ilk Müslüman filozof ve bilgindir. O, bilim tasniflerinde Aristo’nun bilim anlayışından ve tasnifinden etkilendiğinden dini ve aklî bilimler ayrımı yapmaktan kaçınmıştır. Yetiştiği dönemde kelam ve akılcı düşünce taraftarlarına karşı olumsuz havayı ve baskıyı düşünecek olursak, Farabî’nin bilimler tasnif şeması ve bu şemada İslam bilimlerinin niçin müstakil başlık altında daha geniş yer almadığını daha iyi anlarız. Bazı gelenekçi çevreler, hadis ve fıkhın dışındaki dini bilgiyi, ilimler sınıfından saymamakta, kelam, felsefe ve akıl yürütmelerine dayalı ilimleri ilim olarak görmemektedir. Bu yaşanan duruma bir cevap olarak Farabî, ilimleri bir bütün olarak değerlendirmiş ve aklî yöntemleri kullanan İslam Bilimlerinden Fıkıh ve Kelam dışındaki bilimleri, bağımsız bir bilim olarak görmemiştir. Başka bir ihtimal de, o, sadece okuduğu veya kendi döneminde eğitimde mutlak okutulması gerektiği ilimlere tasnif şemasında yer vermiştir. </w:t>
      </w:r>
    </w:p>
    <w:p w:rsidR="00D54205" w:rsidRDefault="00D54205"/>
    <w:sectPr w:rsidR="00D54205" w:rsidSect="00FE210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3B"/>
    <w:rsid w:val="0002202A"/>
    <w:rsid w:val="00AE5FBA"/>
    <w:rsid w:val="00B21315"/>
    <w:rsid w:val="00C1623B"/>
    <w:rsid w:val="00D5420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7228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2A"/>
    <w:pPr>
      <w:spacing w:line="360" w:lineRule="auto"/>
      <w:jc w:val="both"/>
    </w:pPr>
    <w:rPr>
      <w:rFonts w:ascii="Times New Roman" w:hAnsi="Times New Roman"/>
    </w:rPr>
  </w:style>
  <w:style w:type="paragraph" w:styleId="Heading1">
    <w:name w:val="heading 1"/>
    <w:basedOn w:val="Normal"/>
    <w:next w:val="Normal"/>
    <w:link w:val="Heading1Char"/>
    <w:autoRedefine/>
    <w:uiPriority w:val="9"/>
    <w:qFormat/>
    <w:rsid w:val="00B21315"/>
    <w:pPr>
      <w:keepNext/>
      <w:keepLines/>
      <w:spacing w:before="480"/>
      <w:jc w:val="center"/>
      <w:outlineLvl w:val="0"/>
    </w:pPr>
    <w:rPr>
      <w:rFonts w:eastAsiaTheme="majorEastAsia" w:cstheme="majorBidi"/>
      <w:b/>
      <w:bCs/>
      <w:sz w:val="28"/>
      <w:szCs w:val="32"/>
    </w:rPr>
  </w:style>
  <w:style w:type="paragraph" w:styleId="Heading2">
    <w:name w:val="heading 2"/>
    <w:basedOn w:val="Normal"/>
    <w:next w:val="Normal"/>
    <w:link w:val="Heading2Char"/>
    <w:autoRedefine/>
    <w:uiPriority w:val="9"/>
    <w:semiHidden/>
    <w:unhideWhenUsed/>
    <w:qFormat/>
    <w:rsid w:val="00B21315"/>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315"/>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semiHidden/>
    <w:rsid w:val="00B21315"/>
    <w:rPr>
      <w:rFonts w:ascii="Times New Roman" w:eastAsiaTheme="majorEastAsia" w:hAnsi="Times New Roman" w:cstheme="majorBidi"/>
      <w:b/>
      <w:bCs/>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2A"/>
    <w:pPr>
      <w:spacing w:line="360" w:lineRule="auto"/>
      <w:jc w:val="both"/>
    </w:pPr>
    <w:rPr>
      <w:rFonts w:ascii="Times New Roman" w:hAnsi="Times New Roman"/>
    </w:rPr>
  </w:style>
  <w:style w:type="paragraph" w:styleId="Heading1">
    <w:name w:val="heading 1"/>
    <w:basedOn w:val="Normal"/>
    <w:next w:val="Normal"/>
    <w:link w:val="Heading1Char"/>
    <w:autoRedefine/>
    <w:uiPriority w:val="9"/>
    <w:qFormat/>
    <w:rsid w:val="00B21315"/>
    <w:pPr>
      <w:keepNext/>
      <w:keepLines/>
      <w:spacing w:before="480"/>
      <w:jc w:val="center"/>
      <w:outlineLvl w:val="0"/>
    </w:pPr>
    <w:rPr>
      <w:rFonts w:eastAsiaTheme="majorEastAsia" w:cstheme="majorBidi"/>
      <w:b/>
      <w:bCs/>
      <w:sz w:val="28"/>
      <w:szCs w:val="32"/>
    </w:rPr>
  </w:style>
  <w:style w:type="paragraph" w:styleId="Heading2">
    <w:name w:val="heading 2"/>
    <w:basedOn w:val="Normal"/>
    <w:next w:val="Normal"/>
    <w:link w:val="Heading2Char"/>
    <w:autoRedefine/>
    <w:uiPriority w:val="9"/>
    <w:semiHidden/>
    <w:unhideWhenUsed/>
    <w:qFormat/>
    <w:rsid w:val="00B21315"/>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315"/>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semiHidden/>
    <w:rsid w:val="00B21315"/>
    <w:rPr>
      <w:rFonts w:ascii="Times New Roman" w:eastAsiaTheme="majorEastAsia" w:hAnsi="Times New Roman" w:cstheme="majorBidi"/>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2219</Words>
  <Characters>12650</Characters>
  <Application>Microsoft Macintosh Word</Application>
  <DocSecurity>0</DocSecurity>
  <Lines>105</Lines>
  <Paragraphs>29</Paragraphs>
  <ScaleCrop>false</ScaleCrop>
  <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dc:creator>
  <cp:keywords/>
  <dc:description/>
  <cp:lastModifiedBy>Mine</cp:lastModifiedBy>
  <cp:revision>1</cp:revision>
  <dcterms:created xsi:type="dcterms:W3CDTF">2018-03-22T09:02:00Z</dcterms:created>
  <dcterms:modified xsi:type="dcterms:W3CDTF">2018-03-22T09:02:00Z</dcterms:modified>
</cp:coreProperties>
</file>