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Ankara University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Library and Documentation Center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Open Resources</w:t>
      </w:r>
    </w:p>
    <w:p w:rsidR="00BC32DD" w:rsidRPr="00785A14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785A14" w:rsidRDefault="00487585" w:rsidP="00BC32DD">
      <w:pPr>
        <w:pStyle w:val="Basliklar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Syllabus</w:t>
      </w: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BC32DD" w:rsidRPr="00785A14" w:rsidRDefault="00A54026" w:rsidP="009B4C3B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785A14">
              <w:rPr>
                <w:b/>
                <w:bCs/>
                <w:szCs w:val="16"/>
                <w:lang w:val="en-US"/>
              </w:rPr>
              <w:t>PHA28</w:t>
            </w:r>
            <w:r w:rsidR="009B4C3B" w:rsidRPr="00785A14">
              <w:rPr>
                <w:b/>
                <w:bCs/>
                <w:szCs w:val="16"/>
                <w:lang w:val="en-US"/>
              </w:rPr>
              <w:t>2</w:t>
            </w:r>
            <w:r w:rsidRPr="00785A14">
              <w:rPr>
                <w:b/>
                <w:bCs/>
                <w:szCs w:val="16"/>
                <w:lang w:val="en-US"/>
              </w:rPr>
              <w:t xml:space="preserve"> ANALYTICAL CHEMISTRY </w:t>
            </w:r>
            <w:r w:rsidR="009B4C3B" w:rsidRPr="00785A14">
              <w:rPr>
                <w:b/>
                <w:bCs/>
                <w:szCs w:val="16"/>
                <w:lang w:val="en-US"/>
              </w:rPr>
              <w:t>I</w:t>
            </w:r>
            <w:r w:rsidRPr="00785A14">
              <w:rPr>
                <w:b/>
                <w:bCs/>
                <w:szCs w:val="16"/>
                <w:lang w:val="en-US"/>
              </w:rPr>
              <w:t>I PRACTICE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375FFB" w:rsidRPr="00785A14" w:rsidRDefault="00375FFB" w:rsidP="00A54026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PROF. DR. ERDAL DINC</w:t>
            </w:r>
          </w:p>
          <w:p w:rsidR="00375FFB" w:rsidRPr="00785A14" w:rsidRDefault="00375FFB" w:rsidP="00A54026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PROF.DR. </w:t>
            </w:r>
            <w:r w:rsidR="00785A14">
              <w:rPr>
                <w:szCs w:val="16"/>
                <w:lang w:val="en-US"/>
              </w:rPr>
              <w:t>NEVIN ERK</w:t>
            </w:r>
          </w:p>
          <w:p w:rsidR="00375FFB" w:rsidRPr="00785A14" w:rsidRDefault="00785A14" w:rsidP="00785A14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ASSOC. PROF. DR. </w:t>
            </w:r>
            <w:r>
              <w:rPr>
                <w:szCs w:val="16"/>
                <w:lang w:val="en-US"/>
              </w:rPr>
              <w:t>OZGUR USTUNDAG</w:t>
            </w:r>
            <w:bookmarkStart w:id="0" w:name="_GoBack"/>
            <w:bookmarkEnd w:id="0"/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Undergraduate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2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Must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785A14" w:rsidRDefault="00487585" w:rsidP="00991CCE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The main topic of the course is quantitative analysis. </w:t>
            </w:r>
            <w:proofErr w:type="spellStart"/>
            <w:r w:rsidRPr="00785A14">
              <w:rPr>
                <w:szCs w:val="16"/>
                <w:lang w:val="en-US"/>
              </w:rPr>
              <w:t>Stıudents</w:t>
            </w:r>
            <w:proofErr w:type="spellEnd"/>
            <w:r w:rsidRPr="00785A14">
              <w:rPr>
                <w:szCs w:val="16"/>
                <w:lang w:val="en-US"/>
              </w:rPr>
              <w:t xml:space="preserve"> perform volumetric analysis (redox</w:t>
            </w:r>
            <w:r w:rsidR="007D7566" w:rsidRPr="00785A14">
              <w:rPr>
                <w:szCs w:val="16"/>
                <w:lang w:val="en-US"/>
              </w:rPr>
              <w:t>, precipitation</w:t>
            </w:r>
            <w:r w:rsidRPr="00785A14">
              <w:rPr>
                <w:szCs w:val="16"/>
                <w:lang w:val="en-US"/>
              </w:rPr>
              <w:t xml:space="preserve"> and complexation titrations)</w:t>
            </w:r>
            <w:r w:rsidR="00991CCE" w:rsidRPr="00785A14">
              <w:rPr>
                <w:szCs w:val="16"/>
                <w:lang w:val="en-US"/>
              </w:rPr>
              <w:t xml:space="preserve"> and </w:t>
            </w:r>
            <w:r w:rsidRPr="00785A14">
              <w:rPr>
                <w:szCs w:val="16"/>
                <w:lang w:val="en-US"/>
              </w:rPr>
              <w:t>instrumental analysis such as</w:t>
            </w:r>
            <w:r w:rsidR="007D7566" w:rsidRPr="00785A14">
              <w:rPr>
                <w:szCs w:val="16"/>
                <w:lang w:val="en-US"/>
              </w:rPr>
              <w:t xml:space="preserve"> optical methods (spectrophotometry, colorimetry, fluorescence, polarimetry and refractometry)</w:t>
            </w:r>
            <w:r w:rsidRPr="00785A14">
              <w:rPr>
                <w:szCs w:val="16"/>
                <w:lang w:val="en-US"/>
              </w:rPr>
              <w:t xml:space="preserve"> chromatograph</w:t>
            </w:r>
            <w:r w:rsidR="007D7566" w:rsidRPr="00785A14">
              <w:rPr>
                <w:szCs w:val="16"/>
                <w:lang w:val="en-US"/>
              </w:rPr>
              <w:t>ic methods (Paper</w:t>
            </w:r>
            <w:r w:rsidRPr="00785A14">
              <w:rPr>
                <w:szCs w:val="16"/>
                <w:lang w:val="en-US"/>
              </w:rPr>
              <w:t>,</w:t>
            </w:r>
            <w:r w:rsidR="007D7566" w:rsidRPr="00785A14">
              <w:rPr>
                <w:szCs w:val="16"/>
                <w:lang w:val="en-US"/>
              </w:rPr>
              <w:t xml:space="preserve"> TLC and HPLC) and electroanalytical methods (voltammetry, potentiometry and conductometry)</w:t>
            </w:r>
            <w:r w:rsidRPr="00785A14">
              <w:rPr>
                <w:szCs w:val="16"/>
                <w:lang w:val="en-US"/>
              </w:rPr>
              <w:t xml:space="preserve">. </w:t>
            </w:r>
            <w:r w:rsidR="00991CCE" w:rsidRPr="00785A14">
              <w:rPr>
                <w:szCs w:val="16"/>
                <w:lang w:val="en-US"/>
              </w:rPr>
              <w:t>The main analytes are active pharmaceutical ingredients at these analyses. Calculations and evaluation of test results are also included in this course.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9E273E" w:rsidRPr="00785A14" w:rsidRDefault="00991CCE" w:rsidP="009E273E">
            <w:pPr>
              <w:pStyle w:val="DersBilgileri"/>
              <w:ind w:left="864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Students</w:t>
            </w:r>
          </w:p>
          <w:p w:rsidR="00061860" w:rsidRPr="00785A14" w:rsidRDefault="00991CC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Learn and apply laboratory rules strictly</w:t>
            </w:r>
          </w:p>
          <w:p w:rsidR="009E273E" w:rsidRPr="00785A14" w:rsidRDefault="00991CC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Calculate test results and evaluate them</w:t>
            </w:r>
          </w:p>
          <w:p w:rsidR="00FB3BD2" w:rsidRPr="00785A14" w:rsidRDefault="00991CCE" w:rsidP="00991CCE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O</w:t>
            </w:r>
            <w:r w:rsidR="00375FFB" w:rsidRPr="00785A14">
              <w:rPr>
                <w:szCs w:val="16"/>
                <w:lang w:val="en-US"/>
              </w:rPr>
              <w:t xml:space="preserve">perate </w:t>
            </w:r>
            <w:r w:rsidRPr="00785A14">
              <w:rPr>
                <w:szCs w:val="16"/>
                <w:lang w:val="en-US"/>
              </w:rPr>
              <w:t>techniques of volumetric analysis such as titrations</w:t>
            </w:r>
          </w:p>
          <w:p w:rsidR="00BC32DD" w:rsidRPr="00785A14" w:rsidRDefault="00991CCE" w:rsidP="00061860">
            <w:pPr>
              <w:pStyle w:val="DersBilgileri"/>
              <w:numPr>
                <w:ilvl w:val="0"/>
                <w:numId w:val="1"/>
              </w:numPr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Discover basic instrumental analysis.</w:t>
            </w:r>
          </w:p>
          <w:p w:rsidR="00061860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785A14" w:rsidRDefault="00061860" w:rsidP="00991CCE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 xml:space="preserve">4 </w:t>
            </w:r>
            <w:r w:rsidR="00991CCE" w:rsidRPr="00785A14">
              <w:rPr>
                <w:szCs w:val="16"/>
                <w:lang w:val="en-US"/>
              </w:rPr>
              <w:t>hour</w:t>
            </w:r>
            <w:r w:rsidR="00375FFB" w:rsidRPr="00785A14">
              <w:rPr>
                <w:szCs w:val="16"/>
                <w:lang w:val="en-US"/>
              </w:rPr>
              <w:t>s</w:t>
            </w:r>
            <w:r w:rsidR="00991CCE" w:rsidRPr="00785A14">
              <w:rPr>
                <w:szCs w:val="16"/>
                <w:lang w:val="en-US"/>
              </w:rPr>
              <w:t>/week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85A14">
              <w:rPr>
                <w:szCs w:val="16"/>
                <w:lang w:val="en-US"/>
              </w:rPr>
              <w:t>Eğitim</w:t>
            </w:r>
            <w:proofErr w:type="spellEnd"/>
            <w:r w:rsidRPr="00785A14">
              <w:rPr>
                <w:szCs w:val="16"/>
                <w:lang w:val="en-US"/>
              </w:rPr>
              <w:t xml:space="preserve"> Dili</w:t>
            </w:r>
          </w:p>
        </w:tc>
        <w:tc>
          <w:tcPr>
            <w:tcW w:w="6068" w:type="dxa"/>
          </w:tcPr>
          <w:p w:rsidR="00BC32DD" w:rsidRPr="00785A14" w:rsidRDefault="00991CCE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ENGLISH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-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Resources</w:t>
            </w:r>
          </w:p>
        </w:tc>
        <w:tc>
          <w:tcPr>
            <w:tcW w:w="6068" w:type="dxa"/>
          </w:tcPr>
          <w:p w:rsidR="00785A14" w:rsidRPr="00785A14" w:rsidRDefault="00785A14" w:rsidP="00832AEF">
            <w:pPr>
              <w:pStyle w:val="Kaynakca"/>
              <w:rPr>
                <w:szCs w:val="16"/>
              </w:rPr>
            </w:pPr>
            <w:r w:rsidRPr="00785A14">
              <w:rPr>
                <w:szCs w:val="16"/>
              </w:rPr>
              <w:t>Analytical Chemistry Lab Manuals</w:t>
            </w:r>
          </w:p>
          <w:p w:rsidR="00BC32DD" w:rsidRPr="00785A14" w:rsidRDefault="00061860" w:rsidP="00832AEF">
            <w:pPr>
              <w:pStyle w:val="Kaynakca"/>
              <w:rPr>
                <w:szCs w:val="16"/>
              </w:rPr>
            </w:pPr>
            <w:proofErr w:type="spellStart"/>
            <w:r w:rsidRPr="00785A14">
              <w:rPr>
                <w:szCs w:val="16"/>
              </w:rPr>
              <w:t>Analitik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Kimya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Pratikleri</w:t>
            </w:r>
            <w:proofErr w:type="spellEnd"/>
            <w:r w:rsidRPr="00785A14">
              <w:rPr>
                <w:szCs w:val="16"/>
              </w:rPr>
              <w:t xml:space="preserve"> – </w:t>
            </w:r>
            <w:proofErr w:type="spellStart"/>
            <w:r w:rsidRPr="00785A14">
              <w:rPr>
                <w:szCs w:val="16"/>
              </w:rPr>
              <w:t>Kantitatif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Analiz</w:t>
            </w:r>
            <w:proofErr w:type="spellEnd"/>
            <w:r w:rsidRPr="00785A14">
              <w:rPr>
                <w:szCs w:val="16"/>
              </w:rPr>
              <w:t xml:space="preserve"> (Ed. </w:t>
            </w:r>
            <w:proofErr w:type="spellStart"/>
            <w:r w:rsidRPr="00785A14">
              <w:rPr>
                <w:szCs w:val="16"/>
              </w:rPr>
              <w:t>Feyyaz</w:t>
            </w:r>
            <w:proofErr w:type="spellEnd"/>
            <w:r w:rsidRPr="00785A14">
              <w:rPr>
                <w:szCs w:val="16"/>
              </w:rPr>
              <w:t xml:space="preserve"> </w:t>
            </w:r>
            <w:proofErr w:type="spellStart"/>
            <w:r w:rsidRPr="00785A14">
              <w:rPr>
                <w:szCs w:val="16"/>
              </w:rPr>
              <w:t>Onur</w:t>
            </w:r>
            <w:proofErr w:type="spellEnd"/>
            <w:r w:rsidRPr="00785A14">
              <w:rPr>
                <w:szCs w:val="16"/>
              </w:rPr>
              <w:t>)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785A14" w:rsidRDefault="00991CCE" w:rsidP="009E273E">
            <w:pPr>
              <w:pStyle w:val="DersBilgileri"/>
              <w:ind w:left="0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The course is the laboratory practice of the Analytical Chemistry II course.</w:t>
            </w:r>
          </w:p>
        </w:tc>
      </w:tr>
    </w:tbl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lang w:val="en-US"/>
        </w:rPr>
      </w:pPr>
    </w:p>
    <w:p w:rsidR="00EB0AE2" w:rsidRPr="00785A14" w:rsidRDefault="00785A14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860"/>
    <w:rsid w:val="000A48ED"/>
    <w:rsid w:val="00375FFB"/>
    <w:rsid w:val="00487585"/>
    <w:rsid w:val="00785A14"/>
    <w:rsid w:val="007D7566"/>
    <w:rsid w:val="00832BE3"/>
    <w:rsid w:val="00991CCE"/>
    <w:rsid w:val="009B4C3B"/>
    <w:rsid w:val="009D5BF7"/>
    <w:rsid w:val="009E273E"/>
    <w:rsid w:val="00A54026"/>
    <w:rsid w:val="00BC32DD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46B7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3</cp:revision>
  <dcterms:created xsi:type="dcterms:W3CDTF">2018-03-06T12:40:00Z</dcterms:created>
  <dcterms:modified xsi:type="dcterms:W3CDTF">2018-04-02T05:58:00Z</dcterms:modified>
</cp:coreProperties>
</file>