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112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ECZ291 FİZYOLOJİ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Prof.Dr.Gülgün Ozansoy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F249C" w:rsidRDefault="00FD5626" w:rsidP="00FD5626">
            <w:pPr>
              <w:pStyle w:val="DersBilgileri"/>
              <w:rPr>
                <w:szCs w:val="16"/>
              </w:rPr>
            </w:pPr>
            <w:r w:rsidRPr="007F249C">
              <w:rPr>
                <w:rStyle w:val="st1"/>
                <w:rFonts w:cs="Arial"/>
                <w:color w:val="545454"/>
              </w:rPr>
              <w:t xml:space="preserve">İnsan vücudunu oluşturan organ ve sistemlerin  fonksiyonlarını ve kontrol mekanizmalarını, sistemlerin </w:t>
            </w:r>
            <w:r w:rsidRPr="007F249C">
              <w:rPr>
                <w:rStyle w:val="st1"/>
                <w:rFonts w:cs="Arial"/>
                <w:b/>
                <w:color w:val="545454"/>
              </w:rPr>
              <w:t>b</w:t>
            </w:r>
            <w:r w:rsidRPr="007F249C">
              <w:rPr>
                <w:rStyle w:val="Emphasis"/>
                <w:rFonts w:cs="Arial"/>
                <w:b w:val="0"/>
                <w:color w:val="545454"/>
              </w:rPr>
              <w:t>irbirleriyle ilişkilerini</w:t>
            </w:r>
            <w:r w:rsidRPr="007F249C">
              <w:rPr>
                <w:rStyle w:val="Emphasis"/>
                <w:rFonts w:cs="Arial"/>
                <w:color w:val="545454"/>
              </w:rPr>
              <w:t xml:space="preserve"> </w:t>
            </w:r>
            <w:r w:rsidRPr="007F249C">
              <w:rPr>
                <w:rStyle w:val="st1"/>
                <w:rFonts w:cs="Arial"/>
                <w:color w:val="545454"/>
              </w:rPr>
              <w:t xml:space="preserve"> araştırır.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5626" w:rsidP="00FD562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Sistemlerin fonksiyonlarını, kontrol eden ve düzenleyen mekanizmaları açıklamaktır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A3C08" w:rsidRDefault="006A3C08"/>
          <w:tbl>
            <w:tblPr>
              <w:tblW w:w="79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7"/>
              <w:gridCol w:w="5"/>
              <w:gridCol w:w="5"/>
              <w:gridCol w:w="5"/>
            </w:tblGrid>
            <w:tr w:rsidR="00FD5626" w:rsidRPr="00FD5626" w:rsidTr="006A3C08">
              <w:tc>
                <w:tcPr>
                  <w:tcW w:w="5000" w:type="pct"/>
                  <w:gridSpan w:val="4"/>
                  <w:vAlign w:val="center"/>
                  <w:hideMark/>
                </w:tcPr>
                <w:p w:rsidR="00FD5626" w:rsidRPr="00FD5626" w:rsidRDefault="00FD5626" w:rsidP="00FD5626">
                  <w:pPr>
                    <w:spacing w:before="100" w:beforeAutospacing="1" w:after="100" w:afterAutospacing="1"/>
                    <w:jc w:val="left"/>
                    <w:outlineLvl w:val="0"/>
                    <w:rPr>
                      <w:bCs/>
                      <w:kern w:val="36"/>
                      <w:sz w:val="18"/>
                      <w:szCs w:val="18"/>
                    </w:rPr>
                  </w:pPr>
                  <w:r w:rsidRPr="00FD5626">
                    <w:rPr>
                      <w:bCs/>
                      <w:kern w:val="36"/>
                      <w:sz w:val="18"/>
                      <w:szCs w:val="18"/>
                    </w:rPr>
                    <w:t>Guyton Tıbbi Fizyoloji</w:t>
                  </w:r>
                  <w:r w:rsidRPr="007F249C">
                    <w:rPr>
                      <w:bCs/>
                      <w:kern w:val="36"/>
                      <w:sz w:val="18"/>
                      <w:szCs w:val="18"/>
                    </w:rPr>
                    <w:t>,</w:t>
                  </w:r>
                  <w:r w:rsidRPr="007F249C">
                    <w:rPr>
                      <w:sz w:val="18"/>
                      <w:szCs w:val="18"/>
                    </w:rPr>
                    <w:t xml:space="preserve"> </w:t>
                  </w:r>
                  <w:r w:rsidRPr="00FD5626">
                    <w:rPr>
                      <w:sz w:val="18"/>
                      <w:szCs w:val="18"/>
                    </w:rPr>
                    <w:t>John E. Hal</w:t>
                  </w:r>
                  <w:r w:rsidRPr="007F249C">
                    <w:rPr>
                      <w:sz w:val="18"/>
                      <w:szCs w:val="18"/>
                    </w:rPr>
                    <w:t>,</w:t>
                  </w:r>
                  <w:r w:rsidRPr="00FD5626">
                    <w:rPr>
                      <w:sz w:val="18"/>
                      <w:szCs w:val="18"/>
                    </w:rPr>
                    <w:t>l</w:t>
                  </w:r>
                  <w:r w:rsidRPr="007F249C">
                    <w:rPr>
                      <w:sz w:val="18"/>
                      <w:szCs w:val="18"/>
                    </w:rPr>
                    <w:t xml:space="preserve"> </w:t>
                  </w:r>
                  <w:r w:rsidRPr="00FD5626">
                    <w:rPr>
                      <w:sz w:val="18"/>
                      <w:szCs w:val="18"/>
                    </w:rPr>
                    <w:t>Çeviri Editörü</w:t>
                  </w:r>
                  <w:r w:rsidRPr="007F249C">
                    <w:rPr>
                      <w:sz w:val="18"/>
                      <w:szCs w:val="18"/>
                    </w:rPr>
                    <w:t xml:space="preserve">; </w:t>
                  </w:r>
                  <w:r w:rsidRPr="00FD5626">
                    <w:rPr>
                      <w:sz w:val="18"/>
                      <w:szCs w:val="18"/>
                    </w:rPr>
                    <w:t>Prof. Dr. Berrak Ç. Yeğen, Prof. Dr. İnci Alican, Prof. Dr. Zeynep Solakoğlu</w:t>
                  </w:r>
                  <w:r w:rsidRPr="007F249C">
                    <w:rPr>
                      <w:sz w:val="18"/>
                      <w:szCs w:val="18"/>
                    </w:rPr>
                    <w:t>,Güneş Kitapevi, 13.Baskı,</w:t>
                  </w:r>
                  <w:r w:rsidRPr="00FD5626">
                    <w:rPr>
                      <w:sz w:val="18"/>
                      <w:szCs w:val="18"/>
                    </w:rPr>
                    <w:t>2017</w:t>
                  </w:r>
                  <w:r w:rsidRPr="007F249C">
                    <w:rPr>
                      <w:sz w:val="18"/>
                      <w:szCs w:val="18"/>
                    </w:rPr>
                    <w:t xml:space="preserve">, </w:t>
                  </w:r>
                  <w:r w:rsidRPr="00FD5626">
                    <w:rPr>
                      <w:sz w:val="18"/>
                      <w:szCs w:val="18"/>
                    </w:rPr>
                    <w:t>ISBN</w:t>
                  </w:r>
                  <w:r w:rsidRPr="007F249C">
                    <w:rPr>
                      <w:sz w:val="18"/>
                      <w:szCs w:val="18"/>
                    </w:rPr>
                    <w:t xml:space="preserve"> </w:t>
                  </w:r>
                  <w:r w:rsidRPr="00FD5626">
                    <w:rPr>
                      <w:sz w:val="18"/>
                      <w:szCs w:val="18"/>
                    </w:rPr>
                    <w:t>9789752776623</w:t>
                  </w:r>
                </w:p>
              </w:tc>
            </w:tr>
            <w:tr w:rsidR="00B840D2" w:rsidRPr="00FD5626" w:rsidTr="006A3C08">
              <w:tc>
                <w:tcPr>
                  <w:tcW w:w="4994" w:type="pct"/>
                  <w:gridSpan w:val="2"/>
                  <w:vAlign w:val="center"/>
                </w:tcPr>
                <w:p w:rsidR="00B840D2" w:rsidRPr="007F249C" w:rsidRDefault="00B840D2" w:rsidP="00B840D2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Vander’s Human Physiology, Eric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Widmaier, Hershel Raff 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Kevin Strang 14th Edition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,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:rsidR="00FD5626" w:rsidRPr="00FD5626" w:rsidRDefault="00B840D2" w:rsidP="00B840D2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2015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,</w:t>
                  </w:r>
                  <w:r w:rsidRPr="007F249C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ISBN number: 978-1259294099</w:t>
                  </w:r>
                </w:p>
              </w:tc>
              <w:tc>
                <w:tcPr>
                  <w:tcW w:w="0" w:type="auto"/>
                  <w:vAlign w:val="center"/>
                </w:tcPr>
                <w:p w:rsidR="00FD5626" w:rsidRPr="00FD5626" w:rsidRDefault="00FD5626" w:rsidP="00B840D2">
                  <w:pPr>
                    <w:ind w:left="50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tbl>
                  <w:tblPr>
                    <w:tblW w:w="1025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5"/>
                    <w:gridCol w:w="6071"/>
                    <w:gridCol w:w="1247"/>
                    <w:gridCol w:w="1695"/>
                  </w:tblGrid>
                  <w:tr w:rsidR="007F249C" w:rsidRPr="00B840D2" w:rsidTr="006A3C08">
                    <w:tc>
                      <w:tcPr>
                        <w:tcW w:w="5000" w:type="pct"/>
                        <w:gridSpan w:val="4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spacing w:before="100" w:beforeAutospacing="1" w:after="100" w:afterAutospacing="1"/>
                          <w:jc w:val="left"/>
                          <w:outlineLvl w:val="0"/>
                          <w:rPr>
                            <w:bCs/>
                            <w:kern w:val="36"/>
                            <w:sz w:val="18"/>
                            <w:szCs w:val="18"/>
                          </w:rPr>
                        </w:pPr>
                        <w:r w:rsidRPr="00B840D2">
                          <w:rPr>
                            <w:bCs/>
                            <w:kern w:val="36"/>
                            <w:sz w:val="18"/>
                            <w:szCs w:val="18"/>
                          </w:rPr>
                          <w:t>Yüksekokullar İçin Fizyoloji</w:t>
                        </w:r>
                        <w:r w:rsidRPr="007F249C">
                          <w:rPr>
                            <w:bCs/>
                            <w:kern w:val="36"/>
                            <w:sz w:val="18"/>
                            <w:szCs w:val="18"/>
                          </w:rPr>
                          <w:t>,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B840D2">
                          <w:rPr>
                            <w:sz w:val="18"/>
                            <w:szCs w:val="18"/>
                          </w:rPr>
                          <w:t>Prof. Dr. Berrak Ç. Yeğen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>, 2014, ISBN:</w:t>
                        </w:r>
                        <w:r w:rsidRPr="00B840D2">
                          <w:rPr>
                            <w:sz w:val="18"/>
                            <w:szCs w:val="18"/>
                          </w:rPr>
                          <w:t>9789754112696</w:t>
                        </w:r>
                      </w:p>
                    </w:tc>
                  </w:tr>
                  <w:tr w:rsidR="007F249C" w:rsidRPr="007F249C" w:rsidTr="006A3C08">
                    <w:tc>
                      <w:tcPr>
                        <w:tcW w:w="3566" w:type="pct"/>
                        <w:gridSpan w:val="2"/>
                        <w:vAlign w:val="center"/>
                      </w:tcPr>
                      <w:p w:rsidR="006A3C08" w:rsidRPr="007F249C" w:rsidRDefault="006A3C08" w:rsidP="006A3C08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  <w:r w:rsidRPr="007F249C">
                          <w:rPr>
                            <w:sz w:val="18"/>
                            <w:szCs w:val="18"/>
                          </w:rPr>
                          <w:t>Fizyoloji Ders Kitabı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>Prof. Dr. Ethem Gelir, Prof. Dr. Mitat Koz, Prof. Dr. Gülfem Ersöz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 xml:space="preserve">,2016,ISBN: 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>9786051331485</w:t>
                        </w:r>
                      </w:p>
                      <w:p w:rsidR="007F249C" w:rsidRDefault="006A3C08" w:rsidP="007F249C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  <w:r w:rsidRPr="007F249C">
                          <w:rPr>
                            <w:sz w:val="18"/>
                            <w:szCs w:val="18"/>
                          </w:rPr>
                          <w:t>Lippincott Fizyoloji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hyperlink r:id="rId6" w:history="1">
                          <w:r w:rsidRPr="007F249C">
                            <w:rPr>
                              <w:rStyle w:val="Hyperlink"/>
                              <w:color w:val="auto"/>
                              <w:sz w:val="18"/>
                              <w:szCs w:val="18"/>
                              <w:u w:val="none"/>
                            </w:rPr>
                            <w:t>Harvey</w:t>
                          </w:r>
                        </w:hyperlink>
                        <w:r w:rsidRPr="007F249C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hyperlink r:id="rId7" w:history="1">
                          <w:r w:rsidRPr="007F249C">
                            <w:rPr>
                              <w:rStyle w:val="Hyperlink"/>
                              <w:color w:val="auto"/>
                              <w:sz w:val="18"/>
                              <w:szCs w:val="18"/>
                              <w:u w:val="none"/>
                            </w:rPr>
                            <w:t>Preston</w:t>
                          </w:r>
                        </w:hyperlink>
                        <w:r w:rsidRPr="007F249C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hyperlink r:id="rId8" w:history="1">
                          <w:r w:rsidRPr="007F249C">
                            <w:rPr>
                              <w:rStyle w:val="Hyperlink"/>
                              <w:color w:val="auto"/>
                              <w:sz w:val="18"/>
                              <w:szCs w:val="18"/>
                              <w:u w:val="none"/>
                            </w:rPr>
                            <w:t>Wilson</w:t>
                          </w:r>
                        </w:hyperlink>
                        <w:r w:rsidRPr="007F249C">
                          <w:rPr>
                            <w:sz w:val="18"/>
                            <w:szCs w:val="18"/>
                          </w:rPr>
                          <w:t xml:space="preserve">,Çeviri editörü: 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>Ümmühan İşoğlu-Alkaç , M. Numan Ermutlu , Bayram Yılmaz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 xml:space="preserve">,2013,ISBN: 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>9786053350187</w:t>
                        </w:r>
                      </w:p>
                      <w:p w:rsidR="006A3C08" w:rsidRPr="007F249C" w:rsidRDefault="006A3C08" w:rsidP="007F249C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  <w:r w:rsidRPr="007F249C">
                          <w:rPr>
                            <w:sz w:val="18"/>
                            <w:szCs w:val="18"/>
                          </w:rPr>
                          <w:t>Ganong'un Tıbbi Fizyolojisi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7F249C">
                          <w:rPr>
                            <w:sz w:val="18"/>
                            <w:szCs w:val="18"/>
                          </w:rPr>
                          <w:t>Brooks, Barrett, Barman, Boitano</w:t>
                        </w:r>
                        <w:r w:rsidR="007F249C" w:rsidRPr="007F249C">
                          <w:rPr>
                            <w:sz w:val="18"/>
                            <w:szCs w:val="18"/>
                          </w:rPr>
                          <w:t xml:space="preserve">, Çeviri Editörü: </w:t>
                        </w:r>
                        <w:r w:rsidR="007F249C" w:rsidRPr="007F249C">
                          <w:rPr>
                            <w:sz w:val="18"/>
                            <w:szCs w:val="18"/>
                          </w:rPr>
                          <w:t>Prof. Dr. Hakkı Gökbel , Nilsel Okudan, H. Serdar Gergerlioğlu, Muaz Belviranlı</w:t>
                        </w:r>
                        <w:r w:rsidR="007F249C" w:rsidRPr="007F249C">
                          <w:rPr>
                            <w:sz w:val="18"/>
                            <w:szCs w:val="18"/>
                          </w:rPr>
                          <w:t xml:space="preserve">, 2015,ISBN: </w:t>
                        </w:r>
                        <w:r w:rsidR="007F249C" w:rsidRPr="007F249C">
                          <w:rPr>
                            <w:sz w:val="18"/>
                            <w:szCs w:val="18"/>
                          </w:rPr>
                          <w:t>9786053350910</w:t>
                        </w:r>
                      </w:p>
                      <w:p w:rsidR="007F249C" w:rsidRPr="007F249C" w:rsidRDefault="007F249C" w:rsidP="006A3C08">
                        <w:pPr>
                          <w:pStyle w:val="Heading1"/>
                          <w:rPr>
                            <w:rFonts w:ascii="Verdana" w:hAnsi="Verdana"/>
                            <w:b w:val="0"/>
                            <w:sz w:val="18"/>
                            <w:szCs w:val="18"/>
                          </w:rPr>
                        </w:pPr>
                      </w:p>
                      <w:p w:rsidR="006A3C08" w:rsidRPr="007F249C" w:rsidRDefault="006A3C08" w:rsidP="006A3C08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</w:p>
                      <w:p w:rsidR="006A3C08" w:rsidRPr="007F249C" w:rsidRDefault="006A3C08" w:rsidP="006A3C08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</w:p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B840D2" w:rsidTr="006A3C08">
                    <w:trPr>
                      <w:hidden/>
                    </w:trPr>
                    <w:tc>
                      <w:tcPr>
                        <w:tcW w:w="5000" w:type="pct"/>
                        <w:gridSpan w:val="4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rPr>
                      <w:hidden/>
                    </w:trPr>
                    <w:tc>
                      <w:tcPr>
                        <w:tcW w:w="607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rPr>
                      <w:hidden/>
                    </w:trPr>
                    <w:tc>
                      <w:tcPr>
                        <w:tcW w:w="607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rPr>
                      <w:hidden/>
                    </w:trPr>
                    <w:tc>
                      <w:tcPr>
                        <w:tcW w:w="607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rPr>
                      <w:hidden/>
                    </w:trPr>
                    <w:tc>
                      <w:tcPr>
                        <w:tcW w:w="607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rPr>
                      <w:hidden/>
                    </w:trPr>
                    <w:tc>
                      <w:tcPr>
                        <w:tcW w:w="607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  <w:r w:rsidRPr="00B840D2">
                          <w:rPr>
                            <w:vanish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  <w:r w:rsidRPr="00B840D2">
                          <w:rPr>
                            <w:vanish/>
                            <w:sz w:val="18"/>
                            <w:szCs w:val="18"/>
                          </w:rPr>
                          <w:t>37,04 TL + KDV</w:t>
                        </w:r>
                      </w:p>
                    </w:tc>
                  </w:tr>
                  <w:tr w:rsidR="007F249C" w:rsidRPr="007F249C" w:rsidTr="006A3C08">
                    <w:trPr>
                      <w:hidden/>
                    </w:trPr>
                    <w:tc>
                      <w:tcPr>
                        <w:tcW w:w="607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  <w:hideMark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49C" w:rsidRPr="007F249C" w:rsidTr="006A3C08">
                    <w:tc>
                      <w:tcPr>
                        <w:tcW w:w="607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58" w:type="pct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34" w:type="pct"/>
                        <w:gridSpan w:val="2"/>
                        <w:vAlign w:val="center"/>
                      </w:tcPr>
                      <w:p w:rsidR="00B840D2" w:rsidRPr="00B840D2" w:rsidRDefault="00B840D2" w:rsidP="00B840D2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D5626" w:rsidRPr="00FD5626" w:rsidRDefault="00FD5626" w:rsidP="00FD562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vanish/>
                      <w:sz w:val="18"/>
                      <w:szCs w:val="18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FD5626" w:rsidRPr="00FD5626" w:rsidTr="006A3C08">
              <w:trPr>
                <w:hidden/>
              </w:trPr>
              <w:tc>
                <w:tcPr>
                  <w:tcW w:w="5000" w:type="pct"/>
                  <w:gridSpan w:val="4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  <w:r w:rsidRPr="00FD5626">
                    <w:rPr>
                      <w:rFonts w:ascii="opensans" w:hAnsi="opensans"/>
                      <w:vanish/>
                      <w:color w:val="293B46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  <w:r w:rsidRPr="00FD5626">
                    <w:rPr>
                      <w:rFonts w:ascii="opensans" w:hAnsi="opensans"/>
                      <w:vanish/>
                      <w:color w:val="293B46"/>
                      <w:szCs w:val="20"/>
                    </w:rPr>
                    <w:t>222,22 TL + KDV</w:t>
                  </w:r>
                </w:p>
              </w:tc>
            </w:tr>
            <w:tr w:rsidR="00B840D2" w:rsidRPr="00FD5626" w:rsidTr="006A3C08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vanish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  <w:tr w:rsidR="00B840D2" w:rsidRPr="00FD5626" w:rsidTr="006A3C08">
              <w:tc>
                <w:tcPr>
                  <w:tcW w:w="0" w:type="auto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3" w:type="pct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D5626" w:rsidRPr="00FD5626" w:rsidRDefault="00FD5626" w:rsidP="00FD5626">
                  <w:pPr>
                    <w:jc w:val="left"/>
                    <w:rPr>
                      <w:rFonts w:ascii="opensans" w:hAnsi="opensans"/>
                      <w:color w:val="293B46"/>
                      <w:szCs w:val="20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4E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24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open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6A3C08"/>
    <w:rsid w:val="007818E8"/>
    <w:rsid w:val="007F249C"/>
    <w:rsid w:val="00832BE3"/>
    <w:rsid w:val="00B840D2"/>
    <w:rsid w:val="00BC32DD"/>
    <w:rsid w:val="00FC4E62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FD5626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C4E62"/>
    <w:rPr>
      <w:b/>
      <w:bCs/>
      <w:i w:val="0"/>
      <w:iCs w:val="0"/>
    </w:rPr>
  </w:style>
  <w:style w:type="character" w:customStyle="1" w:styleId="st1">
    <w:name w:val="st1"/>
    <w:basedOn w:val="DefaultParagraphFont"/>
    <w:rsid w:val="00FC4E62"/>
  </w:style>
  <w:style w:type="character" w:customStyle="1" w:styleId="Heading1Char">
    <w:name w:val="Heading 1 Char"/>
    <w:basedOn w:val="DefaultParagraphFont"/>
    <w:link w:val="Heading1"/>
    <w:uiPriority w:val="9"/>
    <w:rsid w:val="00FD562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Default">
    <w:name w:val="Default"/>
    <w:rsid w:val="00B840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6A3C0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6A3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FD5626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C4E62"/>
    <w:rPr>
      <w:b/>
      <w:bCs/>
      <w:i w:val="0"/>
      <w:iCs w:val="0"/>
    </w:rPr>
  </w:style>
  <w:style w:type="character" w:customStyle="1" w:styleId="st1">
    <w:name w:val="st1"/>
    <w:basedOn w:val="DefaultParagraphFont"/>
    <w:rsid w:val="00FC4E62"/>
  </w:style>
  <w:style w:type="character" w:customStyle="1" w:styleId="Heading1Char">
    <w:name w:val="Heading 1 Char"/>
    <w:basedOn w:val="DefaultParagraphFont"/>
    <w:link w:val="Heading1"/>
    <w:uiPriority w:val="9"/>
    <w:rsid w:val="00FD562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Default">
    <w:name w:val="Default"/>
    <w:rsid w:val="00B840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6A3C0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6A3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311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0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06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9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54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94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46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beltip.com/author/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beltip.com/author/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beltip.com/author/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8CD1-19AF-40EC-96F3-CA7D30F1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yedek</dc:creator>
  <cp:lastModifiedBy>yedek</cp:lastModifiedBy>
  <cp:revision>2</cp:revision>
  <dcterms:created xsi:type="dcterms:W3CDTF">2018-04-12T00:30:00Z</dcterms:created>
  <dcterms:modified xsi:type="dcterms:W3CDTF">2018-04-12T00:30:00Z</dcterms:modified>
</cp:coreProperties>
</file>