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24" w:rsidRPr="00F820A5" w:rsidRDefault="004D0170" w:rsidP="00D420FA">
      <w:pPr>
        <w:jc w:val="center"/>
        <w:rPr>
          <w:rFonts w:ascii="Times New Roman" w:hAnsi="Times New Roman" w:cs="Times New Roman"/>
          <w:b/>
        </w:rPr>
      </w:pPr>
      <w:r w:rsidRPr="00F820A5">
        <w:rPr>
          <w:rFonts w:ascii="Times New Roman" w:hAnsi="Times New Roman" w:cs="Times New Roman"/>
          <w:b/>
        </w:rPr>
        <w:t>HAFTA 3 - ULUSLARARASI İŞ HUKUKU – İŞ HUKUKUYLA İLGİLİ DEVLET ORGANLARI</w:t>
      </w:r>
      <w:bookmarkStart w:id="0" w:name="_GoBack"/>
      <w:bookmarkEnd w:id="0"/>
    </w:p>
    <w:p w:rsidR="00F33F39" w:rsidRPr="00F820A5" w:rsidRDefault="00F33F39" w:rsidP="00D420FA">
      <w:pPr>
        <w:jc w:val="center"/>
        <w:rPr>
          <w:rFonts w:ascii="Times New Roman" w:hAnsi="Times New Roman" w:cs="Times New Roman"/>
          <w:b/>
        </w:rPr>
      </w:pPr>
    </w:p>
    <w:p w:rsidR="00F33F39" w:rsidRPr="00F820A5" w:rsidRDefault="004D0170" w:rsidP="00F33F39">
      <w:pPr>
        <w:pStyle w:val="Tableofcontents20"/>
        <w:shd w:val="clear" w:color="auto" w:fill="auto"/>
        <w:tabs>
          <w:tab w:val="right" w:leader="dot" w:pos="6986"/>
        </w:tabs>
        <w:spacing w:before="0"/>
        <w:jc w:val="center"/>
        <w:rPr>
          <w:sz w:val="22"/>
        </w:rPr>
      </w:pPr>
      <w:r w:rsidRPr="00F820A5">
        <w:rPr>
          <w:sz w:val="22"/>
        </w:rPr>
        <w:t xml:space="preserve">ULUSLARARASI </w:t>
      </w:r>
      <w:r w:rsidRPr="00F820A5">
        <w:rPr>
          <w:rStyle w:val="Tableofcontents2NotBold"/>
          <w:b/>
          <w:sz w:val="22"/>
        </w:rPr>
        <w:t>İŞ</w:t>
      </w:r>
      <w:r w:rsidRPr="00F820A5">
        <w:rPr>
          <w:rStyle w:val="Tableofcontents2NotBold"/>
          <w:sz w:val="22"/>
        </w:rPr>
        <w:t xml:space="preserve"> </w:t>
      </w:r>
      <w:r w:rsidRPr="00F820A5">
        <w:rPr>
          <w:sz w:val="22"/>
        </w:rPr>
        <w:t>HUKUKU</w:t>
      </w:r>
    </w:p>
    <w:p w:rsidR="00F33F39" w:rsidRPr="00F820A5" w:rsidRDefault="00F33F39" w:rsidP="00F33F39">
      <w:pPr>
        <w:pStyle w:val="Tableofcontents20"/>
        <w:shd w:val="clear" w:color="auto" w:fill="auto"/>
        <w:tabs>
          <w:tab w:val="right" w:leader="dot" w:pos="6986"/>
        </w:tabs>
        <w:spacing w:before="0"/>
        <w:jc w:val="center"/>
        <w:rPr>
          <w:sz w:val="22"/>
        </w:rPr>
      </w:pPr>
    </w:p>
    <w:p w:rsidR="00F33F39" w:rsidRPr="00F820A5" w:rsidRDefault="00EA1A8F" w:rsidP="004D0170">
      <w:pPr>
        <w:pStyle w:val="T6"/>
        <w:rPr>
          <w:rFonts w:ascii="Times New Roman" w:hAnsi="Times New Roman" w:cs="Times New Roman"/>
        </w:rPr>
      </w:pPr>
      <w:hyperlink w:anchor="bookmark45" w:tooltip="Current Document">
        <w:r w:rsidR="00F33F39" w:rsidRPr="00F820A5">
          <w:rPr>
            <w:rFonts w:ascii="Times New Roman" w:hAnsi="Times New Roman" w:cs="Times New Roman"/>
          </w:rPr>
          <w:t>Uluslararası Çalışma Örgütü (ILO)</w:t>
        </w:r>
      </w:hyperlink>
      <w:r w:rsidR="00F33F39" w:rsidRPr="00F820A5">
        <w:rPr>
          <w:rFonts w:ascii="Times New Roman" w:hAnsi="Times New Roman" w:cs="Times New Roman"/>
        </w:rPr>
        <w:t xml:space="preserve"> </w:t>
      </w:r>
    </w:p>
    <w:p w:rsidR="00E27E8B" w:rsidRPr="00F820A5" w:rsidRDefault="00E27E8B" w:rsidP="004D0170">
      <w:pPr>
        <w:pStyle w:val="T6"/>
        <w:jc w:val="left"/>
        <w:rPr>
          <w:rFonts w:ascii="Times New Roman" w:hAnsi="Times New Roman" w:cs="Times New Roman"/>
        </w:rPr>
      </w:pPr>
      <w:r w:rsidRPr="00F820A5">
        <w:rPr>
          <w:rFonts w:ascii="Times New Roman" w:hAnsi="Times New Roman" w:cs="Times New Roman"/>
        </w:rPr>
        <w:t>ILO’nun Görev ve Hedefleri</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i/>
          <w:iCs/>
          <w:kern w:val="36"/>
          <w:lang w:eastAsia="tr-TR"/>
        </w:rPr>
        <w:t xml:space="preserve"> “Herhangi bir ülkenin, emeğin insani koşullarını benimsememesi, kendi ülkelerindeki durumu iyileştirme isteğinde olan diğer ülkeler için bir engel teşkil edecektir.” </w:t>
      </w:r>
    </w:p>
    <w:p w:rsidR="00E27E8B" w:rsidRPr="00F820A5" w:rsidRDefault="00E27E8B" w:rsidP="00E27E8B">
      <w:pPr>
        <w:spacing w:after="0" w:line="240" w:lineRule="auto"/>
        <w:ind w:firstLine="660"/>
        <w:jc w:val="both"/>
        <w:outlineLvl w:val="0"/>
        <w:rPr>
          <w:rFonts w:ascii="Times New Roman" w:eastAsia="Times New Roman" w:hAnsi="Times New Roman" w:cs="Times New Roman"/>
          <w:i/>
          <w:iCs/>
          <w:kern w:val="36"/>
          <w:lang w:eastAsia="tr-TR"/>
        </w:rPr>
      </w:pPr>
      <w:r w:rsidRPr="00F820A5">
        <w:rPr>
          <w:rFonts w:ascii="Times New Roman" w:eastAsia="Times New Roman" w:hAnsi="Times New Roman" w:cs="Times New Roman"/>
          <w:i/>
          <w:iCs/>
          <w:kern w:val="36"/>
          <w:lang w:eastAsia="tr-TR"/>
        </w:rPr>
        <w:t>ILO Anayasası</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Çalışma yaşamında barışın refah açısından vazgeçilmez olduğu şeklindeki kurucu misyonu doğrultusunda hareket eden Uluslararası Çalışma Örgütü (ILO), sosyal adaleti, uluslararası planda tanınan insan ve emek haklarını gerçekleştirmek için çalışmaktadır. Bugün ILO insana yakışır işler yaratılmasına; çalışanları ve iş çevrelerini kalıcı bir barış, refah ve ilerlemeye sahip çıkmaya yöneltecek ekonomik koşullarla çalışma koşullarının sağlanmasına yardım etmektedir. </w:t>
      </w:r>
    </w:p>
    <w:p w:rsidR="00E27E8B" w:rsidRPr="00F820A5" w:rsidRDefault="00E27E8B" w:rsidP="00E27E8B">
      <w:pPr>
        <w:spacing w:after="0" w:line="240" w:lineRule="auto"/>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ILO’nun üç taraflı yapısı, tüm kadınlar ve erkekler için insana yakışır işlerin yaygınlaştırılması açısından benzersiz bir platform sunmaktadır. Başlıca hedefleri, çalışma yaşamında hakların yaşama geçirilmesi, insana yakışır istihdam fırsatlarının teşvik edilmesi, sosyal korumanın güçlendirilmesi ve çalışma yaşamıyla ilgili konularda diyaloğun güçlendirilmesidir.  ILO’nun dört stratejik hedefi bulunmaktadır: </w:t>
      </w:r>
    </w:p>
    <w:p w:rsidR="00E27E8B" w:rsidRPr="00F820A5" w:rsidRDefault="00E27E8B" w:rsidP="00E27E8B">
      <w:pPr>
        <w:pStyle w:val="ListeParagraf"/>
        <w:numPr>
          <w:ilvl w:val="0"/>
          <w:numId w:val="18"/>
        </w:numPr>
        <w:spacing w:after="0" w:line="240" w:lineRule="auto"/>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Çalışma yaşamında standartların, temel ilkelerin ve hakların yaygınlaştırılması ve yaşama geçirilmesi</w:t>
      </w:r>
    </w:p>
    <w:p w:rsidR="00E27E8B" w:rsidRPr="00F820A5" w:rsidRDefault="00E27E8B" w:rsidP="00E27E8B">
      <w:pPr>
        <w:pStyle w:val="ListeParagraf"/>
        <w:numPr>
          <w:ilvl w:val="0"/>
          <w:numId w:val="18"/>
        </w:numPr>
        <w:spacing w:after="0" w:line="240" w:lineRule="auto"/>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Kadınların ve erkeklerin insana yakışır işlerde çalışıp insana yakışır kazanç sağlayabilmeleri için gerekli fırsatların artırılması</w:t>
      </w:r>
    </w:p>
    <w:p w:rsidR="00E27E8B" w:rsidRPr="00F820A5" w:rsidRDefault="00E27E8B" w:rsidP="00E27E8B">
      <w:pPr>
        <w:pStyle w:val="ListeParagraf"/>
        <w:numPr>
          <w:ilvl w:val="0"/>
          <w:numId w:val="18"/>
        </w:numPr>
        <w:spacing w:after="0" w:line="240" w:lineRule="auto"/>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Herkes için sosyal korumanın kapsamının genişletilmesi ve etkililiğinin artırılması</w:t>
      </w:r>
    </w:p>
    <w:p w:rsidR="00E27E8B" w:rsidRPr="00F820A5" w:rsidRDefault="00E27E8B" w:rsidP="00E27E8B">
      <w:pPr>
        <w:pStyle w:val="ListeParagraf"/>
        <w:numPr>
          <w:ilvl w:val="0"/>
          <w:numId w:val="18"/>
        </w:numPr>
        <w:spacing w:after="0" w:line="240" w:lineRule="auto"/>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Üç taraflılığın ve sosyal diyaloğun güçlendirilmesi</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Bu hedeflere yönelik çalışmaların desteklenmesinde ILO çalışma yaşamına ilişkin benzersiz bir uzmanlık ve deney birikiminden yararlanmaktadır. Bunlar, insana yakışır iş, geçim ve saygınlık ihtiyaçlarına yanıt verme çabalarında 90 yılı aşkın bir sürede edinilmiş uzmanlıklar ve deneyimlerdir. ILO, üç taraflı bileşenlerine –ve bir bütün olarak topluma- aşağıdakiler dâhil çeşitli yollardan hizmet etmektedir: </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Temel insan haklarının gözetilmesine, çalışma ve yaşam koşullarının iyileştirilmesine ve istihdam fırsatlarının güçlendirilmesine yönelik uluslararası politika ve programların geliştirilmesi</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Uygulamaların denetlenmesine yönelik kendine özgü bir sistemle desteklenmek üzere uluslararası çalışma standartlarının belirlenmesi</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Bu politikaların etkili biçimde uygulanmasında ülkelere yardım etmek üzere bileşenlerle aktif ortaklık yoluyla hazırlanan ve uygulanan yaygın bir uluslararası teknik işbirliği programı</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Tüm bu çabaların daha ileriye taşınmasına destek olacak eğitim ve araştırma çalışmaları.</w:t>
      </w: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(http://www.ilo.org/ankara/about-us/WCMS_372872/lang--tr/index.htm)</w:t>
      </w:r>
    </w:p>
    <w:p w:rsidR="00E27E8B" w:rsidRPr="00F820A5" w:rsidRDefault="00E27E8B" w:rsidP="004D0170">
      <w:pPr>
        <w:pStyle w:val="T6"/>
        <w:rPr>
          <w:rFonts w:ascii="Times New Roman" w:hAnsi="Times New Roman" w:cs="Times New Roman"/>
        </w:rPr>
      </w:pP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proofErr w:type="spellStart"/>
      <w:r w:rsidRPr="00F820A5">
        <w:rPr>
          <w:rFonts w:ascii="Times New Roman" w:eastAsia="Times New Roman" w:hAnsi="Times New Roman" w:cs="Times New Roman"/>
          <w:b/>
          <w:kern w:val="36"/>
          <w:lang w:eastAsia="tr-TR"/>
        </w:rPr>
        <w:t>Philadelphia</w:t>
      </w:r>
      <w:proofErr w:type="spellEnd"/>
      <w:r w:rsidRPr="00F820A5">
        <w:rPr>
          <w:rFonts w:ascii="Times New Roman" w:eastAsia="Times New Roman" w:hAnsi="Times New Roman" w:cs="Times New Roman"/>
          <w:b/>
          <w:kern w:val="36"/>
          <w:lang w:eastAsia="tr-TR"/>
        </w:rPr>
        <w:t xml:space="preserve"> Bildirgesi</w:t>
      </w: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b/>
          <w:kern w:val="36"/>
          <w:lang w:eastAsia="tr-TR"/>
        </w:rPr>
        <w:t>I</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Konferans, Örgüt’ün dayandığı temel ilkeleri bir kez daha doğrular ve şunları özellikle bildirir;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Emek bir mal değildir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Dernek kurma ve ifade özgürlüğü desteklenen bir ilerlemenin vazgeçilmez şartıdır;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Yoksulluk, bulunduğu yerlerde, herkesin refahına yönelik bir tehlike oluşturur;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İhtiyaca karşı mücadele, her ulusun kendi ülkesi içerisinde tükenmez bir güçle ve kamu yararının sağlanması amacıyla işçi ve işveren temsilcilerinin Hükümet temsilcileri ile eşit şartları içinde katılımlarıyla yapacakları serbest tartışmalara ve alacakları demokratik kararlara </w:t>
      </w:r>
      <w:proofErr w:type="gramStart"/>
      <w:r w:rsidRPr="00F820A5">
        <w:rPr>
          <w:rFonts w:ascii="Times New Roman" w:eastAsia="Times New Roman" w:hAnsi="Times New Roman" w:cs="Times New Roman"/>
          <w:kern w:val="36"/>
          <w:lang w:eastAsia="tr-TR"/>
        </w:rPr>
        <w:t>hakim</w:t>
      </w:r>
      <w:proofErr w:type="gramEnd"/>
      <w:r w:rsidRPr="00F820A5">
        <w:rPr>
          <w:rFonts w:ascii="Times New Roman" w:eastAsia="Times New Roman" w:hAnsi="Times New Roman" w:cs="Times New Roman"/>
          <w:kern w:val="36"/>
          <w:lang w:eastAsia="tr-TR"/>
        </w:rPr>
        <w:t xml:space="preserve"> olarak sürekli ve ortak bir uluslararası gayretle yürütülecektir.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b/>
          <w:kern w:val="36"/>
          <w:lang w:eastAsia="tr-TR"/>
        </w:rPr>
        <w:lastRenderedPageBreak/>
        <w:t>II</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Çalışma Örgütünün Anayasası’nda yazılı bulunup, sürekli bir barışın ancak sosyal adalet temeli üzerinde kurulabileceğine dair olan bildirgenin doğruluğunun tecrübe ile tamamen ortaya çıktığına kanaat getiren Konferans, aşağıdaki hususları bildirir.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Irk, inanç ve cinsiyetleri ne olursa olsun, bütün insanlar maddi ilerlemelerini ve manevi gelişmelerini, hür ve haysiyetli bir şekilde, ekonomik güvence altında ve eşit şartlarda sürdürmek hakkına sahiptirler.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Bu sonuca ulaştıracak koşulların gerçekleştirilmesi, her ulusal ve uluslararası siyasetin ana hedefini oluşturmalıdır.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Ulusal ve Uluslararası düzeyde özellikle ekonomik ve mali alanlarda alınan bütün önlemlerin ve programların bu bakımdan değerlendirilmesi ve sadece bu temel hedefin gerçekleştirilmesini engelleyen değil, kolaylaştıran nitelikte görülecek şekilde kabul edilmelidir.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düzeyde alınan mali ve ekonomik tüm önlemlerin ve yapılan programların bu temel hedef ışığında düşünülmesi ve incelenmesi Uluslararası Çalışma Örgütüne düşen bir ödevdir.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Çalışma Örgütü kendisine verilen görevleri yerine getirirken, bütün uygun ekonomik ve mali faktörleri dikkate aldıktan sonra, karar ve tavsiyelerine uygun gördüğü bütün hükümleri koyabilmek yetkisine sahiptir.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b/>
          <w:kern w:val="36"/>
          <w:lang w:eastAsia="tr-TR"/>
        </w:rPr>
        <w:t>III</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Konferans, aşağıda yazılı bulunan hususların gerçekleşmesini sağlayacak programların uygulanması işinde çeşitli uluslara yardımın Uluslararası Çalışma Örgütü için önemli bir yükümlülük oluşturduğunu kabul eder: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Tam istihdamın sağlanması ve hayat seviyesinin yükseltilmesi,</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İşçileri, becerilerini ve bilgilerini bütünüyle gösterebilmekten zevk duyacakları işlerde çalıştırmak ve bu sayede ortak refaha en iyi biçimde katkı da bulunmak</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Bu amaca ulaşmak için, bütün ilgililer hakkında uygun güvencelerle işçileri mesleklerinde yetiştirmek üzere olanaklar sağlamak ve onların bir yerden diğer bir yere nakillerini ve bu arada gerek kendilerinin gerek diğer halkın göçerliliğini kolaylaştırabilecek önlemlere başvurmak,</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Ücretler ve kazançlar, çalışma süreleri ve diğer çalışma koşulları konularda kaydedilen ilerlemelerin sonuçlarından herkese eşit şekilde yararlanma </w:t>
      </w:r>
      <w:proofErr w:type="gramStart"/>
      <w:r w:rsidRPr="00F820A5">
        <w:rPr>
          <w:rFonts w:ascii="Times New Roman" w:eastAsia="Times New Roman" w:hAnsi="Times New Roman" w:cs="Times New Roman"/>
          <w:kern w:val="36"/>
          <w:lang w:eastAsia="tr-TR"/>
        </w:rPr>
        <w:t>imkanı</w:t>
      </w:r>
      <w:proofErr w:type="gramEnd"/>
      <w:r w:rsidRPr="00F820A5">
        <w:rPr>
          <w:rFonts w:ascii="Times New Roman" w:eastAsia="Times New Roman" w:hAnsi="Times New Roman" w:cs="Times New Roman"/>
          <w:kern w:val="36"/>
          <w:lang w:eastAsia="tr-TR"/>
        </w:rPr>
        <w:t xml:space="preserve"> tanınması, iş sahibi olan ve korunmaya muhtaç olan kimselere asgari yaşam koşulları sağlayacak bir ücret verilmesi,</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Toplu görüşme yapmak hakkının tam olarak tanınması, üretim düzenlemelerinin sürekli iyileştirilmesi ile sosyal ve ekonomik politikanın hazırlanması ve uygulanmasında ortaklaşa hareket etmek için işçi ve işverenlerin işbirliği yapması</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Güvenceye ve eksiksiz tıbbi tedaviye ihtiyaç duyan herkes için temel bir gelir sağlamak amacına yönelik sosyal güvenlik önlemlerinin yaygınlaştırılması,</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b/>
          <w:kern w:val="36"/>
          <w:lang w:eastAsia="tr-TR"/>
        </w:rPr>
        <w:t>IV</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İşbu bildirimde belirtilen hedeflere ulaşmak için gerekli olan bütün dünya üretim kaynaklarının daha geniş ve daha eksiksiz bir şekilde kullanılmasının, ulusal ve uluslararası düzeyde etkili bir işbirliğiyle ve özellikle üretim ve tüketimin yaygınlaştırmasını sağlamaya, önemli ekonomik çalkantılardan kaçınmaya, çok az değerlendirilmiş bölgelerin sosyal ve ekonomik ilerlemelerini gerçekleştirmeye, gıda ve hammadde konusunda dünyadaki fiyatlarda daha yaygın bir istikrar sağlamaya ve yüksek kapasitede, istikrarlı bir ticaret ortamı gerçekleştirmeye yönelik önlemlerle sağlanabileceğine kanaat getiren konferans, Uluslararası Çalışma Örgütünün, bu büyük görevde, aynı zamanda bütün ulusların sağlık, eğitim ve refahının iyileştirilmesi hususunda kendisine bir sorumluluk payı ayırmış olan bütün uluslararası kuruluşlarla tam bir işbirliği yapmaya söz verir.</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p>
    <w:p w:rsidR="00F33F39" w:rsidRPr="00F820A5" w:rsidRDefault="00F33F39" w:rsidP="00F33F39">
      <w:pPr>
        <w:spacing w:after="0" w:line="240" w:lineRule="auto"/>
        <w:ind w:firstLine="660"/>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b/>
          <w:kern w:val="36"/>
          <w:lang w:eastAsia="tr-TR"/>
        </w:rPr>
        <w:t>V</w:t>
      </w:r>
    </w:p>
    <w:p w:rsidR="00F33F39" w:rsidRPr="00F820A5" w:rsidRDefault="00F33F39" w:rsidP="00F33F39">
      <w:pPr>
        <w:spacing w:after="0" w:line="240" w:lineRule="auto"/>
        <w:ind w:firstLine="6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Konferans, bu bildirgede sözü edilen ilkelerin, bütün dünya ulusları hakkında tam olarak uygulanabilir olduğunu kabul eder ve şayet bunların uygulama tarzlarında her ulusun sosyal ve ekonomik gelişme derecesinin gerekli şekilde hesaba katılması, gerekirse bu ilkelerin bağımlı durumda olan ulusların </w:t>
      </w:r>
      <w:proofErr w:type="spellStart"/>
      <w:r w:rsidRPr="00F820A5">
        <w:rPr>
          <w:rFonts w:ascii="Times New Roman" w:eastAsia="Times New Roman" w:hAnsi="Times New Roman" w:cs="Times New Roman"/>
          <w:kern w:val="36"/>
          <w:lang w:eastAsia="tr-TR"/>
        </w:rPr>
        <w:t>yanısıra</w:t>
      </w:r>
      <w:proofErr w:type="spellEnd"/>
      <w:r w:rsidRPr="00F820A5">
        <w:rPr>
          <w:rFonts w:ascii="Times New Roman" w:eastAsia="Times New Roman" w:hAnsi="Times New Roman" w:cs="Times New Roman"/>
          <w:kern w:val="36"/>
          <w:lang w:eastAsia="tr-TR"/>
        </w:rPr>
        <w:t xml:space="preserve"> kendi kendilerini yönetebilecek hale gelenlere aşamalı biçimde uygulanması hususunun bütün uygar dünyayı ilgilendirdiğini doğrular.</w:t>
      </w:r>
    </w:p>
    <w:p w:rsidR="00E27E8B" w:rsidRPr="00F820A5" w:rsidRDefault="00E27E8B" w:rsidP="00F33F39">
      <w:pPr>
        <w:spacing w:after="0" w:line="240" w:lineRule="auto"/>
        <w:ind w:firstLine="660"/>
        <w:jc w:val="both"/>
        <w:outlineLvl w:val="0"/>
        <w:rPr>
          <w:rFonts w:ascii="Times New Roman" w:eastAsia="Times New Roman" w:hAnsi="Times New Roman" w:cs="Times New Roman"/>
          <w:kern w:val="36"/>
          <w:lang w:eastAsia="tr-TR"/>
        </w:rPr>
      </w:pPr>
    </w:p>
    <w:p w:rsidR="00F33F39" w:rsidRPr="00F820A5" w:rsidRDefault="00EA1A8F" w:rsidP="00E27E8B">
      <w:pPr>
        <w:spacing w:after="0" w:line="240" w:lineRule="auto"/>
        <w:ind w:firstLine="360"/>
        <w:jc w:val="both"/>
        <w:rPr>
          <w:rFonts w:ascii="Times New Roman" w:eastAsia="Times New Roman" w:hAnsi="Times New Roman" w:cs="Times New Roman"/>
          <w:b/>
          <w:lang w:eastAsia="tr-TR"/>
        </w:rPr>
      </w:pPr>
      <w:hyperlink r:id="rId6" w:history="1">
        <w:r w:rsidR="00E27E8B" w:rsidRPr="00F820A5">
          <w:rPr>
            <w:rStyle w:val="Kpr"/>
            <w:rFonts w:ascii="Times New Roman" w:eastAsia="Times New Roman" w:hAnsi="Times New Roman" w:cs="Times New Roman"/>
            <w:b/>
            <w:lang w:eastAsia="tr-TR"/>
          </w:rPr>
          <w:t>ILO Anayasası için tıklayınız.</w:t>
        </w:r>
      </w:hyperlink>
    </w:p>
    <w:p w:rsidR="00E27E8B" w:rsidRPr="00F820A5" w:rsidRDefault="00E27E8B" w:rsidP="00E27E8B">
      <w:pPr>
        <w:spacing w:after="0" w:line="240" w:lineRule="auto"/>
        <w:ind w:firstLine="360"/>
        <w:jc w:val="both"/>
        <w:rPr>
          <w:rFonts w:ascii="Times New Roman" w:eastAsia="Times New Roman" w:hAnsi="Times New Roman" w:cs="Times New Roman"/>
          <w:b/>
          <w:lang w:eastAsia="tr-TR"/>
        </w:rPr>
      </w:pPr>
    </w:p>
    <w:p w:rsidR="00F33F39" w:rsidRPr="00F820A5" w:rsidRDefault="00F33F39" w:rsidP="00F33F39">
      <w:pPr>
        <w:spacing w:after="0" w:line="240" w:lineRule="auto"/>
        <w:jc w:val="both"/>
        <w:rPr>
          <w:rFonts w:ascii="Times New Roman" w:eastAsia="Times New Roman" w:hAnsi="Times New Roman" w:cs="Times New Roman"/>
          <w:lang w:eastAsia="tr-TR"/>
        </w:rPr>
      </w:pPr>
    </w:p>
    <w:p w:rsidR="00E27E8B" w:rsidRPr="00F820A5" w:rsidRDefault="00E27E8B" w:rsidP="00E27E8B">
      <w:pPr>
        <w:spacing w:after="0" w:line="240" w:lineRule="auto"/>
        <w:ind w:firstLine="360"/>
        <w:jc w:val="both"/>
        <w:rPr>
          <w:rFonts w:ascii="Times New Roman" w:eastAsia="Times New Roman" w:hAnsi="Times New Roman" w:cs="Times New Roman"/>
          <w:b/>
          <w:lang w:eastAsia="tr-TR"/>
        </w:rPr>
      </w:pPr>
      <w:r w:rsidRPr="00F820A5">
        <w:rPr>
          <w:rFonts w:ascii="Times New Roman" w:eastAsia="Times New Roman" w:hAnsi="Times New Roman" w:cs="Times New Roman"/>
          <w:b/>
          <w:lang w:eastAsia="tr-TR"/>
        </w:rPr>
        <w:t>ILO’nun Çalışma Yapısı</w:t>
      </w:r>
    </w:p>
    <w:p w:rsidR="00E27E8B" w:rsidRPr="00F820A5" w:rsidRDefault="00E27E8B" w:rsidP="00E27E8B">
      <w:pPr>
        <w:spacing w:after="0" w:line="240" w:lineRule="auto"/>
        <w:ind w:firstLine="360"/>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Üçlü yapı ve sosyal diyalog </w:t>
      </w:r>
    </w:p>
    <w:p w:rsidR="00E27E8B" w:rsidRPr="00F820A5" w:rsidRDefault="00E27E8B" w:rsidP="00E27E8B">
      <w:pPr>
        <w:spacing w:after="0" w:line="240" w:lineRule="auto"/>
        <w:ind w:firstLine="3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Sosyal ve ekonomik ilerlemenin sağlanmasında hükümetlerle işveren ve işçi kuruluşlarının işbirliği, ILO’nun çalışmalarını belirleyen en önemli temel unsurdur. </w:t>
      </w:r>
    </w:p>
    <w:p w:rsidR="00E27E8B" w:rsidRPr="00F820A5" w:rsidRDefault="00E27E8B" w:rsidP="00E27E8B">
      <w:pPr>
        <w:spacing w:after="0" w:line="240" w:lineRule="auto"/>
        <w:ind w:firstLine="360"/>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 hükümet, işveren ve işçi temsilcilerinin yer aldıkları üç taraflı tek BM kuruluşudur. Bu üçlü yapı sayesinde ILO, 185 Üye Devletin hükümetlerinin ve sosyal ortakların çalışma standartları ve politikalarını serbestçe ve açıkça tartışabildikleri kendine özgü bir forum niteliğindedir. </w:t>
      </w:r>
    </w:p>
    <w:p w:rsidR="00E27E8B" w:rsidRPr="00F820A5" w:rsidRDefault="00E27E8B" w:rsidP="00E27E8B">
      <w:pPr>
        <w:spacing w:after="0" w:line="240" w:lineRule="auto"/>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ILO'nun amacı, hükümetleri, işverenleri ve işçileri çalışma standartları oluşturmak, politikalar ve programlar geliştirmek üzere bir araya getirerek çalışan kadınların ve erkeklerin ihtiyaçlarının karşılanmasını sağlamaktır. İşçilerin ve işverenlerin hükümetlerle birlikte alınacak kararlarda eşit söze sahip oldukları ILO’nun yapısı sosyal diyaloğu etkin olarak ortaya koymaktadır. Sosyal ortakların görüşlerinin çalışma standartlarında, politikalarda ve programlarda yansıma bulması ILO'nun önceliklerindendir.</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ILO, sosyal, ekonomik ve daha </w:t>
      </w:r>
      <w:proofErr w:type="gramStart"/>
      <w:r w:rsidRPr="00F820A5">
        <w:rPr>
          <w:rFonts w:ascii="Times New Roman" w:eastAsia="Times New Roman" w:hAnsi="Times New Roman" w:cs="Times New Roman"/>
          <w:kern w:val="36"/>
          <w:lang w:eastAsia="tr-TR"/>
        </w:rPr>
        <w:t>bir çok</w:t>
      </w:r>
      <w:proofErr w:type="gramEnd"/>
      <w:r w:rsidRPr="00F820A5">
        <w:rPr>
          <w:rFonts w:ascii="Times New Roman" w:eastAsia="Times New Roman" w:hAnsi="Times New Roman" w:cs="Times New Roman"/>
          <w:kern w:val="36"/>
          <w:lang w:eastAsia="tr-TR"/>
        </w:rPr>
        <w:t xml:space="preserve"> alanda ulusal politikalar geliştirilmesinde ve yerine göre uygulanmasında sendikalar ve işverenler arasında sosyal diyaloğu yaygınlaştırarak Üye Devletlerde bu üç taraflı yapıyı desteklemektedir. </w:t>
      </w:r>
    </w:p>
    <w:p w:rsidR="00E27E8B" w:rsidRPr="00F820A5" w:rsidRDefault="00E27E8B" w:rsidP="00E27E8B">
      <w:pPr>
        <w:spacing w:after="0" w:line="240" w:lineRule="auto"/>
        <w:ind w:left="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ILO'nun çalışmalarını hükümet, işveren ve işçi kesimi temsilcilerinin de yer aldığı üç ana yapı gerçekleştirmektedir:</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Çalışma Konferansı,</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 Yönetim Kurulu,</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 Ofis.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ILO Yönetim Kurulu ile ILO Ofisin çalışmalarına belli başlı endüstrileri kapsayan üç taraflı komiteler yardımcı olmaktadır. Mesleki eğitim, yönetim geliştirme, iş güvenliği ve sağlığı, endüstriyel ilişkiler, işgücünün eğitimi, kadınların ve gençlerin sorunları gibi alanlardaki uzman komiteler ILO'nun çalışmalarına destek olmaktadır.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 üyesi devletlerin bölgesel</w:t>
      </w:r>
      <w:r w:rsidRPr="00F820A5">
        <w:rPr>
          <w:rFonts w:ascii="Times New Roman" w:eastAsia="Times New Roman" w:hAnsi="Times New Roman" w:cs="Times New Roman"/>
          <w:b/>
          <w:kern w:val="36"/>
          <w:lang w:eastAsia="tr-TR"/>
        </w:rPr>
        <w:t xml:space="preserve"> </w:t>
      </w:r>
      <w:r w:rsidRPr="00F820A5">
        <w:rPr>
          <w:rFonts w:ascii="Times New Roman" w:eastAsia="Times New Roman" w:hAnsi="Times New Roman" w:cs="Times New Roman"/>
          <w:kern w:val="36"/>
          <w:lang w:eastAsia="tr-TR"/>
        </w:rPr>
        <w:t>toplantıları, ilgili ülkelere özgü konuları ele almak üzere belirli aralıklarla yapılmaktadır. </w:t>
      </w:r>
    </w:p>
    <w:p w:rsidR="00E27E8B" w:rsidRPr="00F820A5" w:rsidRDefault="00E27E8B" w:rsidP="00E27E8B">
      <w:pPr>
        <w:spacing w:after="0" w:line="240" w:lineRule="auto"/>
        <w:ind w:firstLine="660"/>
        <w:jc w:val="both"/>
        <w:outlineLvl w:val="0"/>
        <w:rPr>
          <w:rFonts w:ascii="Times New Roman" w:eastAsia="Times New Roman" w:hAnsi="Times New Roman" w:cs="Times New Roman"/>
          <w:b/>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Uluslararası Çalışma Konferansı</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çalışma standartları ve ILO’nun genel politikaları her yıl toplanan Uluslararası Çalışma Konferansı tarafından belirlenir. Sıkça emeğin uluslararası parlamentosu olarak atıfta bulunulan Konferans aynı zamanda belli başlı toplumsal ve çalışma yaşamına ilişkin konuların tartışıldığı bir forum durumundadır. </w:t>
      </w:r>
    </w:p>
    <w:p w:rsidR="00E27E8B" w:rsidRPr="00F820A5" w:rsidRDefault="00E27E8B" w:rsidP="00E27E8B">
      <w:pPr>
        <w:spacing w:after="0" w:line="240" w:lineRule="auto"/>
        <w:ind w:firstLine="426"/>
        <w:jc w:val="both"/>
        <w:outlineLvl w:val="0"/>
        <w:rPr>
          <w:rFonts w:ascii="Times New Roman" w:eastAsia="Times New Roman" w:hAnsi="Times New Roman" w:cs="Times New Roman"/>
          <w:b/>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ILO Yönetim Kurulu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Yönetim kurulu ILO’nun icra organı olup yılda üç kez Cenevre’de toplanır. Kurul ILO politikalarına ilişkin kararlar alır, onaylanmak üzere Konferansa sunulacak programı ve bütçeyi hazırlar.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Uluslararası Çalışma Ofisi</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Uluslararası Çalışma Ofisi, Uluslararası Çalışma Örgütü’nün daimi sekretaryası ve </w:t>
      </w:r>
      <w:proofErr w:type="spellStart"/>
      <w:r w:rsidRPr="00F820A5">
        <w:rPr>
          <w:rFonts w:ascii="Times New Roman" w:eastAsia="Times New Roman" w:hAnsi="Times New Roman" w:cs="Times New Roman"/>
          <w:kern w:val="36"/>
          <w:lang w:eastAsia="tr-TR"/>
        </w:rPr>
        <w:t>operasyonel</w:t>
      </w:r>
      <w:proofErr w:type="spellEnd"/>
      <w:r w:rsidRPr="00F820A5">
        <w:rPr>
          <w:rFonts w:ascii="Times New Roman" w:eastAsia="Times New Roman" w:hAnsi="Times New Roman" w:cs="Times New Roman"/>
          <w:kern w:val="36"/>
          <w:lang w:eastAsia="tr-TR"/>
        </w:rPr>
        <w:t xml:space="preserve"> merkezidir. İdare ve yönetim ise Genel Direktör önderliğinde bölgesel, yerel ve 40’ı aşkın ülkede bulunan temsilcilikler vasıtasıyla merkezi bir yapıda uygulanır. ILO sekretaryası, </w:t>
      </w:r>
      <w:proofErr w:type="spellStart"/>
      <w:r w:rsidRPr="00F820A5">
        <w:rPr>
          <w:rFonts w:ascii="Times New Roman" w:eastAsia="Times New Roman" w:hAnsi="Times New Roman" w:cs="Times New Roman"/>
          <w:kern w:val="36"/>
          <w:lang w:eastAsia="tr-TR"/>
        </w:rPr>
        <w:t>operasyonel</w:t>
      </w:r>
      <w:proofErr w:type="spellEnd"/>
      <w:r w:rsidRPr="00F820A5">
        <w:rPr>
          <w:rFonts w:ascii="Times New Roman" w:eastAsia="Times New Roman" w:hAnsi="Times New Roman" w:cs="Times New Roman"/>
          <w:kern w:val="36"/>
          <w:lang w:eastAsia="tr-TR"/>
        </w:rPr>
        <w:t xml:space="preserve"> merkezi, araştırma merkezi ve yayınevi Cenevre’de bulunan Uluslararası Çalışma Ofisi’ndedir.</w:t>
      </w:r>
    </w:p>
    <w:p w:rsidR="00E27E8B" w:rsidRPr="00F820A5" w:rsidRDefault="00E27E8B" w:rsidP="00E27E8B">
      <w:pPr>
        <w:spacing w:after="0" w:line="240" w:lineRule="auto"/>
        <w:ind w:firstLine="426"/>
        <w:jc w:val="both"/>
        <w:outlineLvl w:val="0"/>
        <w:rPr>
          <w:rFonts w:ascii="Times New Roman" w:eastAsia="Times New Roman" w:hAnsi="Times New Roman" w:cs="Times New Roman"/>
          <w:b/>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ILO Genel Direktörü</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ILO Yönetim Kurulu her beş yılda bir ILO Genel Direktörünü seçmektedir. Yönetim Kurulu’nun talimatları doğrultusunda olmak üzere, Genel Müdür Uluslararası Çalışma Ofisi’nin ve diğer görevlerin etkin biçimde yürütülmesinden sorumludur. ILO’nun bugünkü Genel Direktörü </w:t>
      </w:r>
      <w:proofErr w:type="spellStart"/>
      <w:r w:rsidRPr="00F820A5">
        <w:rPr>
          <w:rFonts w:ascii="Times New Roman" w:eastAsia="Times New Roman" w:hAnsi="Times New Roman" w:cs="Times New Roman"/>
          <w:kern w:val="36"/>
          <w:lang w:eastAsia="tr-TR"/>
        </w:rPr>
        <w:t>Guy</w:t>
      </w:r>
      <w:proofErr w:type="spellEnd"/>
      <w:r w:rsidRPr="00F820A5">
        <w:rPr>
          <w:rFonts w:ascii="Times New Roman" w:eastAsia="Times New Roman" w:hAnsi="Times New Roman" w:cs="Times New Roman"/>
          <w:kern w:val="36"/>
          <w:lang w:eastAsia="tr-TR"/>
        </w:rPr>
        <w:t xml:space="preserve"> </w:t>
      </w:r>
      <w:proofErr w:type="spellStart"/>
      <w:r w:rsidRPr="00F820A5">
        <w:rPr>
          <w:rFonts w:ascii="Times New Roman" w:eastAsia="Times New Roman" w:hAnsi="Times New Roman" w:cs="Times New Roman"/>
          <w:kern w:val="36"/>
          <w:lang w:eastAsia="tr-TR"/>
        </w:rPr>
        <w:t>Ryder</w:t>
      </w:r>
      <w:proofErr w:type="spellEnd"/>
      <w:r w:rsidRPr="00F820A5">
        <w:rPr>
          <w:rFonts w:ascii="Times New Roman" w:eastAsia="Times New Roman" w:hAnsi="Times New Roman" w:cs="Times New Roman"/>
          <w:kern w:val="36"/>
          <w:lang w:eastAsia="tr-TR"/>
        </w:rPr>
        <w:t xml:space="preserve"> 1 Ekim 2012’de göreve gelmiştir. </w:t>
      </w:r>
    </w:p>
    <w:p w:rsidR="00E27E8B" w:rsidRPr="00F820A5" w:rsidRDefault="00E27E8B" w:rsidP="00E27E8B">
      <w:pPr>
        <w:spacing w:after="0" w:line="240" w:lineRule="auto"/>
        <w:jc w:val="both"/>
        <w:outlineLvl w:val="0"/>
        <w:rPr>
          <w:rFonts w:ascii="Times New Roman" w:eastAsia="Times New Roman" w:hAnsi="Times New Roman" w:cs="Times New Roman"/>
          <w:kern w:val="36"/>
          <w:u w:val="single"/>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b/>
          <w:kern w:val="36"/>
          <w:lang w:eastAsia="tr-TR"/>
        </w:rPr>
      </w:pPr>
      <w:r w:rsidRPr="00F820A5">
        <w:rPr>
          <w:rFonts w:ascii="Times New Roman" w:eastAsia="Times New Roman" w:hAnsi="Times New Roman" w:cs="Times New Roman"/>
          <w:kern w:val="36"/>
          <w:u w:val="single"/>
          <w:lang w:eastAsia="tr-TR"/>
        </w:rPr>
        <w:t>ILO İdari Mahkemesi</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lastRenderedPageBreak/>
        <w:t>İdari Mahkeme, Uluslararası Çalışma Ofisi görevlilerinin ve yetkisini tanıyan diğer uluslararası kuruluşların gündeme getirdikleri istihdamla ilgili şikâyetleri incelemektedir. Halen, yaklaşık 60 kuruluştan görevde olan ya da eskiden görev yapmış uluslararası yaklaşık 46 bin kamu görevlisine açık bir organdır. </w:t>
      </w:r>
    </w:p>
    <w:p w:rsidR="00E27E8B" w:rsidRPr="00F820A5" w:rsidRDefault="00E27E8B" w:rsidP="00E27E8B">
      <w:pPr>
        <w:spacing w:after="0" w:line="240" w:lineRule="auto"/>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Standart denetleme sistemi</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Uluslararası çalışma standartları, ülkelerin onaylamış oldukları sözleşmeleri uygulamalarına yardımcı olan bir denetleme sistemiyle desteklenmektedir.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u w:val="single"/>
          <w:lang w:eastAsia="tr-TR"/>
        </w:rPr>
      </w:pPr>
      <w:r w:rsidRPr="00F820A5">
        <w:rPr>
          <w:rFonts w:ascii="Times New Roman" w:eastAsia="Times New Roman" w:hAnsi="Times New Roman" w:cs="Times New Roman"/>
          <w:kern w:val="36"/>
          <w:u w:val="single"/>
          <w:lang w:eastAsia="tr-TR"/>
        </w:rPr>
        <w:t>ILO Merkezleri ve Enstitüleri</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ILO tüm dünyada çalışma yaşamına ilişkin uzman bir bilgi kaynağı olarak tanınmaktadır. Örgüt, ILO ofislerine ve bileşenlerine özel araştırmalarla, eğitimle ve desteklerle yardımcı olmak üzere enstitüler ve merkezler kurmuştur. </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(http://www.ilo.org/ankara/about-us/WCMS_372875/lang--tr/index.htm)</w:t>
      </w: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p>
    <w:p w:rsidR="00E27E8B" w:rsidRPr="00F820A5" w:rsidRDefault="00E27E8B" w:rsidP="00E27E8B">
      <w:pPr>
        <w:spacing w:after="0" w:line="240" w:lineRule="auto"/>
        <w:ind w:firstLine="426"/>
        <w:jc w:val="both"/>
        <w:outlineLvl w:val="0"/>
        <w:rPr>
          <w:rFonts w:ascii="Times New Roman" w:eastAsia="Times New Roman" w:hAnsi="Times New Roman" w:cs="Times New Roman"/>
          <w:kern w:val="36"/>
          <w:lang w:eastAsia="tr-TR"/>
        </w:rPr>
      </w:pPr>
    </w:p>
    <w:p w:rsidR="00F33F39" w:rsidRPr="00F820A5" w:rsidRDefault="00E27E8B" w:rsidP="004D0170">
      <w:pPr>
        <w:pStyle w:val="T6"/>
        <w:rPr>
          <w:rFonts w:ascii="Times New Roman" w:hAnsi="Times New Roman" w:cs="Times New Roman"/>
        </w:rPr>
      </w:pPr>
      <w:r w:rsidRPr="00F820A5">
        <w:rPr>
          <w:rFonts w:ascii="Times New Roman" w:hAnsi="Times New Roman" w:cs="Times New Roman"/>
        </w:rPr>
        <w:t>Türkiye’nin Taraf Olduğu ILO Sözleşmeleri</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İşsizlik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11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Örgütlenme Özgürlüğü (Tarım)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Haftalık Dinlenme (Sanayi)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Yaş (</w:t>
      </w:r>
      <w:proofErr w:type="spellStart"/>
      <w:r w:rsidRPr="00F820A5">
        <w:rPr>
          <w:rFonts w:ascii="Times New Roman" w:hAnsi="Times New Roman" w:cs="Times New Roman"/>
        </w:rPr>
        <w:t>Trimciler</w:t>
      </w:r>
      <w:proofErr w:type="spellEnd"/>
      <w:r w:rsidRPr="00F820A5">
        <w:rPr>
          <w:rFonts w:ascii="Times New Roman" w:hAnsi="Times New Roman" w:cs="Times New Roman"/>
        </w:rPr>
        <w:t xml:space="preserve"> ve Ateşçiler)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26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Ücret Belirleme Yöntemi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29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Zorla Çalıştırma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34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Ücretli İş Bulma Büroları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42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İşçinin Tazmini (Meslek Hastalıkları) Sözleşmesi (Revize)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45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Yeraltı İşleri (Kadınlar)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53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Ticaret Gemilerinde Çalışan Kaptanlar Ve Gemi Zabitlerinin Meslekî Yeterliliklerinin Asgari İcaplarına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55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Gemiadamlarının</w:t>
      </w:r>
      <w:proofErr w:type="spellEnd"/>
      <w:r w:rsidRPr="00F820A5">
        <w:rPr>
          <w:rFonts w:ascii="Times New Roman" w:hAnsi="Times New Roman" w:cs="Times New Roman"/>
        </w:rPr>
        <w:t xml:space="preserve"> Hastalanması, Yaralanması ya da Ölümü Halinde Armatörün Sorumluluğuna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58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Yaş (Deniz) Sözleşmesi (Revize)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59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Yaş (Sanayi) Sözleşmesi (Revize)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68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Gemilerde Mürettebat İçin İaşe ve Yemek Hizmetlerine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69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Gemi Aşçılarının Mesleki Ehliyet Diplomalarına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73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Gemiadamlarının</w:t>
      </w:r>
      <w:proofErr w:type="spellEnd"/>
      <w:r w:rsidRPr="00F820A5">
        <w:rPr>
          <w:rFonts w:ascii="Times New Roman" w:hAnsi="Times New Roman" w:cs="Times New Roman"/>
        </w:rPr>
        <w:t xml:space="preserve"> Sağlık Muayenesine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77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Gençlerin Tıbbi Muayenesi (Sanayi)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80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Son Maddelerin Revizyonu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81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 Teftişi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87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Sendika Özgürlüğü ve Sendikalaşma Hakkının Korunması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88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 ve İşçi Bulma Servisi Kurulması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Mürettebatin</w:t>
      </w:r>
      <w:proofErr w:type="spellEnd"/>
      <w:r w:rsidRPr="00F820A5">
        <w:rPr>
          <w:rFonts w:ascii="Times New Roman" w:hAnsi="Times New Roman" w:cs="Times New Roman"/>
        </w:rPr>
        <w:t xml:space="preserve"> Gemide Barınmasına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Çalışma Şartları (Kamu Sözleşmeleri)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Ücretlerin Korunması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Ücretli İş Bulma Büroları Sözleşmesi (Revize)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Örgütlenme ve Toplu Pazarlık Hakkı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99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Ücret Tespit Mekanizması (Tarım)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100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Eşit Ücret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102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Sosyal Güvenlik (Asgari Standartlar)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105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Zorla Çalıştırmanın Kaldırılması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108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w:t>
      </w:r>
      <w:proofErr w:type="spellEnd"/>
      <w:r w:rsidRPr="00F820A5">
        <w:rPr>
          <w:rFonts w:ascii="Times New Roman" w:hAnsi="Times New Roman" w:cs="Times New Roman"/>
        </w:rPr>
        <w:t xml:space="preserve"> Ulusal Kimlik Katlarına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111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Ayırımcılık (İş ve Meslek)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lastRenderedPageBreak/>
        <w:t xml:space="preserve">115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Radyasyondan Korunma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116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Son Maddelerin Revizyonu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118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Muamele Eşitliği (Sosyal Güvenlik)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119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Makinaların</w:t>
      </w:r>
      <w:proofErr w:type="spellEnd"/>
      <w:r w:rsidRPr="00F820A5">
        <w:rPr>
          <w:rFonts w:ascii="Times New Roman" w:hAnsi="Times New Roman" w:cs="Times New Roman"/>
        </w:rPr>
        <w:t xml:space="preserve"> Korunma Tertibatı ile </w:t>
      </w:r>
      <w:proofErr w:type="spellStart"/>
      <w:r w:rsidRPr="00F820A5">
        <w:rPr>
          <w:rFonts w:ascii="Times New Roman" w:hAnsi="Times New Roman" w:cs="Times New Roman"/>
        </w:rPr>
        <w:t>Techizi</w:t>
      </w:r>
      <w:proofErr w:type="spellEnd"/>
      <w:r w:rsidRPr="00F820A5">
        <w:rPr>
          <w:rFonts w:ascii="Times New Roman" w:hAnsi="Times New Roman" w:cs="Times New Roman"/>
        </w:rPr>
        <w:t xml:space="preserve">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122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İstihdam Politikası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123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Yaş (Yeraltı İşleri)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127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Azami Ağırlık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133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Mürettebatın Gemide Barındırılmasına İlişkin Sözleşme (İlave Hükümler)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134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 Kazalarının Önlenmesine (</w:t>
      </w:r>
      <w:proofErr w:type="spellStart"/>
      <w:r w:rsidRPr="00F820A5">
        <w:rPr>
          <w:rFonts w:ascii="Times New Roman" w:hAnsi="Times New Roman" w:cs="Times New Roman"/>
        </w:rPr>
        <w:t>Gemiadamları</w:t>
      </w:r>
      <w:proofErr w:type="spellEnd"/>
      <w:r w:rsidRPr="00F820A5">
        <w:rPr>
          <w:rFonts w:ascii="Times New Roman" w:hAnsi="Times New Roman" w:cs="Times New Roman"/>
        </w:rPr>
        <w:t xml:space="preserv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135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İşçi Temsilcileri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138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Asgari Yaş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142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İnsan Kaynaklarının Geliştirilmesi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144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Üçlü Danışma (Uluslararası Çalışma Standartları)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146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Gemiadamlarının</w:t>
      </w:r>
      <w:proofErr w:type="spellEnd"/>
      <w:r w:rsidRPr="00F820A5">
        <w:rPr>
          <w:rFonts w:ascii="Times New Roman" w:hAnsi="Times New Roman" w:cs="Times New Roman"/>
        </w:rPr>
        <w:t xml:space="preserve"> Yıllık Ücretli İznine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151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Çalışma İlişkileri (Kamu Hizmeti)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Liman İşlerinde Sağlık ve Güvenliğe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153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Karayolları Taşımacılığında Çalışma Saatleri ve Dinlenme Sürelerine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155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 </w:t>
      </w:r>
      <w:proofErr w:type="spellStart"/>
      <w:r w:rsidRPr="00F820A5">
        <w:rPr>
          <w:rFonts w:ascii="Times New Roman" w:hAnsi="Times New Roman" w:cs="Times New Roman"/>
        </w:rPr>
        <w:t>Sağliği</w:t>
      </w:r>
      <w:proofErr w:type="spellEnd"/>
      <w:r w:rsidRPr="00F820A5">
        <w:rPr>
          <w:rFonts w:ascii="Times New Roman" w:hAnsi="Times New Roman" w:cs="Times New Roman"/>
        </w:rPr>
        <w:t xml:space="preserve"> ve Güvenliği ve Çalışma Ortamına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158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Hizmet İlişkisine Son Verilmesi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159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Mesleki Rehabilitasyon ve İstihdam (Sakatlar)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161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Sağlık Hizmetlerine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164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Gemiadamlarının</w:t>
      </w:r>
      <w:proofErr w:type="spellEnd"/>
      <w:r w:rsidRPr="00F820A5">
        <w:rPr>
          <w:rFonts w:ascii="Times New Roman" w:hAnsi="Times New Roman" w:cs="Times New Roman"/>
        </w:rPr>
        <w:t xml:space="preserve"> Sağlığının Korunması ve Tıbbi Bakımına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166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w:t>
      </w:r>
      <w:proofErr w:type="spellStart"/>
      <w:r w:rsidRPr="00F820A5">
        <w:rPr>
          <w:rFonts w:ascii="Times New Roman" w:hAnsi="Times New Roman" w:cs="Times New Roman"/>
        </w:rPr>
        <w:t>Gemiadamlarının</w:t>
      </w:r>
      <w:proofErr w:type="spellEnd"/>
      <w:r w:rsidRPr="00F820A5">
        <w:rPr>
          <w:rFonts w:ascii="Times New Roman" w:hAnsi="Times New Roman" w:cs="Times New Roman"/>
        </w:rPr>
        <w:t xml:space="preserve"> Ülkelerine Geri Gönderilmesine İlişkin Sözleşme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167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İnşaat İşlerinde Güvenlik ve Sağlık Sözleşmesi, 1988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176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Madenlerde Güvenlik ve Sağlık Sözleşmesi, 1995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182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En Kötü Biçimlerdeki Çocuk İşçiliğinin Yasaklanması ve Ortadan Kaldırılmasına İlişkin Acil Eylem Sözleşmesi </w:t>
      </w:r>
    </w:p>
    <w:p w:rsidR="00F33F39" w:rsidRPr="00F820A5" w:rsidRDefault="00F33F39" w:rsidP="00A504DB">
      <w:pPr>
        <w:pStyle w:val="T6"/>
        <w:numPr>
          <w:ilvl w:val="0"/>
          <w:numId w:val="12"/>
        </w:numPr>
        <w:jc w:val="left"/>
        <w:rPr>
          <w:rFonts w:ascii="Times New Roman" w:hAnsi="Times New Roman" w:cs="Times New Roman"/>
        </w:rPr>
      </w:pPr>
      <w:r w:rsidRPr="00F820A5">
        <w:rPr>
          <w:rFonts w:ascii="Times New Roman" w:hAnsi="Times New Roman" w:cs="Times New Roman"/>
        </w:rPr>
        <w:t xml:space="preserve">187 </w:t>
      </w:r>
      <w:proofErr w:type="spellStart"/>
      <w:r w:rsidRPr="00F820A5">
        <w:rPr>
          <w:rFonts w:ascii="Times New Roman" w:hAnsi="Times New Roman" w:cs="Times New Roman"/>
        </w:rPr>
        <w:t>No'lu</w:t>
      </w:r>
      <w:proofErr w:type="spellEnd"/>
      <w:r w:rsidRPr="00F820A5">
        <w:rPr>
          <w:rFonts w:ascii="Times New Roman" w:hAnsi="Times New Roman" w:cs="Times New Roman"/>
        </w:rPr>
        <w:t xml:space="preserve"> İş Sağlığı ve Güvenliğini Geliştirme Çerçeve Sözleşmesi</w:t>
      </w:r>
    </w:p>
    <w:p w:rsidR="00F33F39" w:rsidRPr="00F820A5" w:rsidRDefault="00F33F39" w:rsidP="00A504DB">
      <w:pPr>
        <w:pStyle w:val="T6"/>
        <w:jc w:val="left"/>
        <w:rPr>
          <w:rFonts w:ascii="Times New Roman" w:hAnsi="Times New Roman" w:cs="Times New Roman"/>
        </w:rPr>
      </w:pPr>
    </w:p>
    <w:p w:rsidR="00E27E8B" w:rsidRPr="00F820A5" w:rsidRDefault="00E27E8B" w:rsidP="004D0170">
      <w:pPr>
        <w:pStyle w:val="T6"/>
        <w:rPr>
          <w:rFonts w:ascii="Times New Roman" w:hAnsi="Times New Roman" w:cs="Times New Roman"/>
        </w:rPr>
      </w:pPr>
    </w:p>
    <w:p w:rsidR="00E27E8B" w:rsidRPr="00F820A5" w:rsidRDefault="00E27E8B" w:rsidP="004D0170">
      <w:pPr>
        <w:pStyle w:val="T6"/>
        <w:rPr>
          <w:rFonts w:ascii="Times New Roman" w:hAnsi="Times New Roman" w:cs="Times New Roman"/>
        </w:rPr>
      </w:pPr>
      <w:r w:rsidRPr="00F820A5">
        <w:rPr>
          <w:rFonts w:ascii="Times New Roman" w:hAnsi="Times New Roman" w:cs="Times New Roman"/>
        </w:rPr>
        <w:t>Birleşmiş Milletler Belgeleri</w:t>
      </w:r>
    </w:p>
    <w:p w:rsidR="00E27E8B" w:rsidRPr="00F820A5" w:rsidRDefault="00E27E8B" w:rsidP="004D0170">
      <w:pPr>
        <w:pStyle w:val="T6"/>
        <w:rPr>
          <w:rFonts w:ascii="Times New Roman" w:hAnsi="Times New Roman" w:cs="Times New Roman"/>
        </w:rPr>
      </w:pPr>
    </w:p>
    <w:p w:rsidR="00C96804" w:rsidRPr="00F820A5" w:rsidRDefault="00C96804" w:rsidP="00A504DB">
      <w:pPr>
        <w:pStyle w:val="T6"/>
        <w:numPr>
          <w:ilvl w:val="0"/>
          <w:numId w:val="20"/>
        </w:numPr>
        <w:jc w:val="left"/>
        <w:rPr>
          <w:rFonts w:ascii="Times New Roman" w:hAnsi="Times New Roman" w:cs="Times New Roman"/>
        </w:rPr>
      </w:pPr>
      <w:r w:rsidRPr="00F820A5">
        <w:rPr>
          <w:rFonts w:ascii="Times New Roman" w:hAnsi="Times New Roman" w:cs="Times New Roman"/>
        </w:rPr>
        <w:t xml:space="preserve">İnsan Hakları Evrensel Bildirgesi </w:t>
      </w:r>
    </w:p>
    <w:p w:rsidR="00C96804" w:rsidRPr="00F820A5" w:rsidRDefault="00C96804" w:rsidP="00A504DB">
      <w:pPr>
        <w:pStyle w:val="T6"/>
        <w:jc w:val="left"/>
        <w:rPr>
          <w:rFonts w:ascii="Times New Roman" w:hAnsi="Times New Roman" w:cs="Times New Roman"/>
        </w:rPr>
      </w:pPr>
      <w:r w:rsidRPr="00F820A5">
        <w:rPr>
          <w:rFonts w:ascii="Times New Roman" w:hAnsi="Times New Roman" w:cs="Times New Roman"/>
          <w:lang w:eastAsia="tr-TR"/>
        </w:rPr>
        <w:t xml:space="preserve">Madde 23 </w:t>
      </w:r>
    </w:p>
    <w:p w:rsidR="00C96804" w:rsidRPr="00F820A5" w:rsidRDefault="00C96804" w:rsidP="00A504DB">
      <w:pPr>
        <w:numPr>
          <w:ilvl w:val="0"/>
          <w:numId w:val="21"/>
        </w:numPr>
        <w:shd w:val="clear" w:color="auto" w:fill="FFFFFF"/>
        <w:spacing w:after="0" w:line="240" w:lineRule="auto"/>
        <w:ind w:left="1200" w:right="48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Her şahsın çalışmaya, işini serbestçe seçmeye, adil ve elverişli çalışma şartlarına ve işsizlikten korunmaya hakkı vardır.</w:t>
      </w:r>
    </w:p>
    <w:p w:rsidR="00C96804" w:rsidRPr="00F820A5" w:rsidRDefault="00C96804" w:rsidP="00A504DB">
      <w:pPr>
        <w:numPr>
          <w:ilvl w:val="0"/>
          <w:numId w:val="21"/>
        </w:numPr>
        <w:shd w:val="clear" w:color="auto" w:fill="FFFFFF"/>
        <w:spacing w:after="0" w:line="240" w:lineRule="auto"/>
        <w:ind w:left="1200" w:right="48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Herkesin, hiçbir fark gözetilmeksizin, eşit iş karşılığında eşit ücrete hakkı vardır.</w:t>
      </w:r>
    </w:p>
    <w:p w:rsidR="00C96804" w:rsidRPr="00F820A5" w:rsidRDefault="00C96804" w:rsidP="00A504DB">
      <w:pPr>
        <w:numPr>
          <w:ilvl w:val="0"/>
          <w:numId w:val="21"/>
        </w:numPr>
        <w:shd w:val="clear" w:color="auto" w:fill="FFFFFF"/>
        <w:spacing w:after="0" w:line="240" w:lineRule="auto"/>
        <w:ind w:left="1200" w:right="48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Çalışan her kimsenin kendisine ve ailesine insanlık haysiyetine uygun bir yaşayış sağlayan ve gerekirse her türlü sosyal koruma vasıtalarıyla da tamamlanan adil ve elverişli bir ücrete hakkı vardır.</w:t>
      </w:r>
    </w:p>
    <w:p w:rsidR="00C96804" w:rsidRPr="00F820A5" w:rsidRDefault="00C96804" w:rsidP="00A504DB">
      <w:pPr>
        <w:numPr>
          <w:ilvl w:val="0"/>
          <w:numId w:val="21"/>
        </w:numPr>
        <w:shd w:val="clear" w:color="auto" w:fill="FFFFFF"/>
        <w:spacing w:after="0" w:line="240" w:lineRule="auto"/>
        <w:ind w:left="1200" w:right="480"/>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Herkesin menfaatlerinin </w:t>
      </w:r>
      <w:proofErr w:type="spellStart"/>
      <w:r w:rsidRPr="00F820A5">
        <w:rPr>
          <w:rFonts w:ascii="Times New Roman" w:eastAsia="Times New Roman" w:hAnsi="Times New Roman" w:cs="Times New Roman"/>
          <w:kern w:val="36"/>
          <w:lang w:eastAsia="tr-TR"/>
        </w:rPr>
        <w:t>korunmasi</w:t>
      </w:r>
      <w:proofErr w:type="spellEnd"/>
      <w:r w:rsidRPr="00F820A5">
        <w:rPr>
          <w:rFonts w:ascii="Times New Roman" w:eastAsia="Times New Roman" w:hAnsi="Times New Roman" w:cs="Times New Roman"/>
          <w:kern w:val="36"/>
          <w:lang w:eastAsia="tr-TR"/>
        </w:rPr>
        <w:t xml:space="preserve"> için sendikalar kurmaya ve bunlara katılmaya hakkı vardır.</w:t>
      </w:r>
    </w:p>
    <w:p w:rsidR="00C96804" w:rsidRPr="00F820A5" w:rsidRDefault="00C96804" w:rsidP="00C96804">
      <w:pPr>
        <w:shd w:val="clear" w:color="auto" w:fill="FFFFFF"/>
        <w:spacing w:after="0" w:line="240" w:lineRule="auto"/>
        <w:ind w:left="1200" w:right="480"/>
        <w:jc w:val="both"/>
        <w:rPr>
          <w:rFonts w:ascii="Times New Roman" w:eastAsia="Times New Roman" w:hAnsi="Times New Roman" w:cs="Times New Roman"/>
          <w:kern w:val="36"/>
          <w:lang w:eastAsia="tr-TR"/>
        </w:rPr>
      </w:pPr>
    </w:p>
    <w:p w:rsidR="00C96804" w:rsidRPr="00F820A5" w:rsidRDefault="00C96804" w:rsidP="00C96804">
      <w:pPr>
        <w:pStyle w:val="Balk2"/>
        <w:shd w:val="clear" w:color="auto" w:fill="FFFFFF"/>
        <w:spacing w:before="0" w:line="240" w:lineRule="auto"/>
        <w:ind w:left="480" w:right="480" w:firstLine="228"/>
        <w:jc w:val="both"/>
        <w:rPr>
          <w:rFonts w:ascii="Times New Roman" w:eastAsia="Times New Roman" w:hAnsi="Times New Roman" w:cs="Times New Roman"/>
          <w:b/>
          <w:color w:val="auto"/>
          <w:kern w:val="36"/>
          <w:sz w:val="22"/>
          <w:szCs w:val="22"/>
          <w:lang w:eastAsia="tr-TR"/>
        </w:rPr>
      </w:pPr>
      <w:r w:rsidRPr="00F820A5">
        <w:rPr>
          <w:rFonts w:ascii="Times New Roman" w:eastAsia="Times New Roman" w:hAnsi="Times New Roman" w:cs="Times New Roman"/>
          <w:b/>
          <w:color w:val="auto"/>
          <w:kern w:val="36"/>
          <w:sz w:val="22"/>
          <w:szCs w:val="22"/>
          <w:lang w:eastAsia="tr-TR"/>
        </w:rPr>
        <w:t>Madde 24</w:t>
      </w:r>
    </w:p>
    <w:p w:rsidR="00C96804" w:rsidRPr="00F820A5" w:rsidRDefault="00C96804" w:rsidP="00C96804">
      <w:pPr>
        <w:pStyle w:val="NormalWeb"/>
        <w:shd w:val="clear" w:color="auto" w:fill="FFFFFF"/>
        <w:spacing w:before="0" w:beforeAutospacing="0" w:after="0" w:afterAutospacing="0"/>
        <w:ind w:left="708" w:right="480"/>
        <w:jc w:val="both"/>
        <w:rPr>
          <w:kern w:val="36"/>
          <w:sz w:val="22"/>
          <w:szCs w:val="22"/>
        </w:rPr>
      </w:pPr>
      <w:r w:rsidRPr="00F820A5">
        <w:rPr>
          <w:kern w:val="36"/>
          <w:sz w:val="22"/>
          <w:szCs w:val="22"/>
        </w:rPr>
        <w:t>Her şahsın dinlenmeye, eğlenmeye, bilhassa çalışma müddetinin makul surette sınırlandırılmasına ve muayyen devrelerde ücretli tatillere hakkı vardır.</w:t>
      </w:r>
    </w:p>
    <w:p w:rsidR="00C96804" w:rsidRPr="00F820A5" w:rsidRDefault="00C96804" w:rsidP="00C96804">
      <w:pPr>
        <w:pStyle w:val="NormalWeb"/>
        <w:shd w:val="clear" w:color="auto" w:fill="FFFFFF"/>
        <w:spacing w:before="0" w:beforeAutospacing="0" w:after="0" w:afterAutospacing="0"/>
        <w:ind w:left="708" w:right="480"/>
        <w:jc w:val="both"/>
        <w:rPr>
          <w:kern w:val="36"/>
          <w:sz w:val="22"/>
          <w:szCs w:val="22"/>
        </w:rPr>
      </w:pPr>
    </w:p>
    <w:p w:rsidR="00C96804" w:rsidRPr="00F820A5" w:rsidRDefault="00C96804" w:rsidP="00C96804">
      <w:pPr>
        <w:pStyle w:val="Balk2"/>
        <w:shd w:val="clear" w:color="auto" w:fill="FFFFFF"/>
        <w:spacing w:before="0" w:line="240" w:lineRule="auto"/>
        <w:ind w:left="480" w:right="480" w:firstLine="228"/>
        <w:jc w:val="both"/>
        <w:rPr>
          <w:rFonts w:ascii="Times New Roman" w:eastAsia="Times New Roman" w:hAnsi="Times New Roman" w:cs="Times New Roman"/>
          <w:b/>
          <w:color w:val="auto"/>
          <w:kern w:val="36"/>
          <w:sz w:val="22"/>
          <w:szCs w:val="22"/>
          <w:lang w:eastAsia="tr-TR"/>
        </w:rPr>
      </w:pPr>
      <w:r w:rsidRPr="00F820A5">
        <w:rPr>
          <w:rFonts w:ascii="Times New Roman" w:eastAsia="Times New Roman" w:hAnsi="Times New Roman" w:cs="Times New Roman"/>
          <w:b/>
          <w:color w:val="auto"/>
          <w:kern w:val="36"/>
          <w:sz w:val="22"/>
          <w:szCs w:val="22"/>
          <w:lang w:eastAsia="tr-TR"/>
        </w:rPr>
        <w:t>Madde 25</w:t>
      </w:r>
    </w:p>
    <w:p w:rsidR="00C96804" w:rsidRPr="00F820A5" w:rsidRDefault="00C96804" w:rsidP="00C96804">
      <w:pPr>
        <w:numPr>
          <w:ilvl w:val="0"/>
          <w:numId w:val="22"/>
        </w:numPr>
        <w:shd w:val="clear" w:color="auto" w:fill="FFFFFF"/>
        <w:spacing w:after="0" w:line="240" w:lineRule="auto"/>
        <w:ind w:left="1200" w:right="480"/>
        <w:jc w:val="both"/>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 xml:space="preserve">Her şahsın, gerek kendisi gerekse ailesi için, yiyecek, giyim, mesken, tıbbi bakım, gerekli sosyal hizmetler </w:t>
      </w:r>
      <w:proofErr w:type="gramStart"/>
      <w:r w:rsidRPr="00F820A5">
        <w:rPr>
          <w:rFonts w:ascii="Times New Roman" w:eastAsia="Times New Roman" w:hAnsi="Times New Roman" w:cs="Times New Roman"/>
          <w:kern w:val="36"/>
          <w:lang w:eastAsia="tr-TR"/>
        </w:rPr>
        <w:t>dahil</w:t>
      </w:r>
      <w:proofErr w:type="gramEnd"/>
      <w:r w:rsidRPr="00F820A5">
        <w:rPr>
          <w:rFonts w:ascii="Times New Roman" w:eastAsia="Times New Roman" w:hAnsi="Times New Roman" w:cs="Times New Roman"/>
          <w:kern w:val="36"/>
          <w:lang w:eastAsia="tr-TR"/>
        </w:rPr>
        <w:t xml:space="preserve"> olmak üzere sağlığı ve refahını temin edecek uygun bir hayat seviyesine ve işsizlik, hastalık, sakatlık, dulluk, ihtiyarlık veya geçim </w:t>
      </w:r>
      <w:r w:rsidRPr="00F820A5">
        <w:rPr>
          <w:rFonts w:ascii="Times New Roman" w:eastAsia="Times New Roman" w:hAnsi="Times New Roman" w:cs="Times New Roman"/>
          <w:kern w:val="36"/>
          <w:lang w:eastAsia="tr-TR"/>
        </w:rPr>
        <w:lastRenderedPageBreak/>
        <w:t>imkânlarından iradesi dışında mahrum bırakacak diğer hallerde güvenliğe hakkı vardır.</w:t>
      </w:r>
    </w:p>
    <w:p w:rsidR="00C96804" w:rsidRPr="00F820A5" w:rsidRDefault="00C96804" w:rsidP="00C96804">
      <w:pPr>
        <w:numPr>
          <w:ilvl w:val="0"/>
          <w:numId w:val="22"/>
        </w:numPr>
        <w:shd w:val="clear" w:color="auto" w:fill="FFFFFF"/>
        <w:spacing w:after="0" w:line="240" w:lineRule="auto"/>
        <w:ind w:left="1200" w:right="480"/>
        <w:jc w:val="both"/>
        <w:rPr>
          <w:rFonts w:ascii="Times New Roman" w:eastAsia="Times New Roman" w:hAnsi="Times New Roman" w:cs="Times New Roman"/>
          <w:kern w:val="36"/>
          <w:lang w:eastAsia="tr-TR"/>
        </w:rPr>
      </w:pPr>
      <w:r w:rsidRPr="00F820A5">
        <w:rPr>
          <w:rFonts w:ascii="Times New Roman" w:eastAsia="Times New Roman" w:hAnsi="Times New Roman" w:cs="Times New Roman"/>
          <w:kern w:val="36"/>
          <w:lang w:eastAsia="tr-TR"/>
        </w:rPr>
        <w:t>Ana ve çocuk özel ihtimam ve yardım görmek hakkını haizdir. Bütün çocuklar, evlilik içinde veya dışında doğsunlar, aynı sosyal korunmadan faydalanırlar.</w:t>
      </w:r>
    </w:p>
    <w:p w:rsidR="00C96804" w:rsidRPr="00F820A5" w:rsidRDefault="00C96804" w:rsidP="004D0170">
      <w:pPr>
        <w:pStyle w:val="T6"/>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7" w:history="1">
        <w:r w:rsidR="00C96804" w:rsidRPr="00F820A5">
          <w:rPr>
            <w:rStyle w:val="Kpr"/>
            <w:rFonts w:ascii="Times New Roman" w:hAnsi="Times New Roman" w:cs="Times New Roman"/>
          </w:rPr>
          <w:t xml:space="preserve">Ekonomik, Sosyal ve Kültürel Haklar Uluslararası Sözleşmesi </w:t>
        </w:r>
      </w:hyperlink>
      <w:r w:rsidR="00C96804" w:rsidRPr="00F820A5">
        <w:rPr>
          <w:rFonts w:ascii="Times New Roman" w:hAnsi="Times New Roman" w:cs="Times New Roman"/>
        </w:rPr>
        <w:t xml:space="preserve"> (tıklayınız)</w:t>
      </w:r>
    </w:p>
    <w:p w:rsidR="00C96804" w:rsidRPr="00F820A5" w:rsidRDefault="00C96804" w:rsidP="00A504DB">
      <w:pPr>
        <w:pStyle w:val="T6"/>
        <w:jc w:val="left"/>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8" w:history="1">
        <w:r w:rsidR="00C96804" w:rsidRPr="00F820A5">
          <w:rPr>
            <w:rStyle w:val="Kpr"/>
            <w:rFonts w:ascii="Times New Roman" w:hAnsi="Times New Roman" w:cs="Times New Roman"/>
          </w:rPr>
          <w:t>Kadınlara Karşı Her Türlü Ayrımcılığın Önlenmesi Sözleşmesi</w:t>
        </w:r>
      </w:hyperlink>
      <w:r w:rsidR="00C96804" w:rsidRPr="00F820A5">
        <w:rPr>
          <w:rFonts w:ascii="Times New Roman" w:hAnsi="Times New Roman" w:cs="Times New Roman"/>
        </w:rPr>
        <w:t xml:space="preserve"> (tıklayınız)</w:t>
      </w:r>
    </w:p>
    <w:p w:rsidR="00C96804" w:rsidRPr="00F820A5" w:rsidRDefault="00C96804" w:rsidP="004D0170">
      <w:pPr>
        <w:pStyle w:val="T6"/>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9" w:history="1">
        <w:r w:rsidR="00C96804" w:rsidRPr="00F820A5">
          <w:rPr>
            <w:rStyle w:val="Kpr"/>
            <w:rFonts w:ascii="Times New Roman" w:hAnsi="Times New Roman" w:cs="Times New Roman"/>
          </w:rPr>
          <w:t>Çocuk Hakları Sözleşmesi</w:t>
        </w:r>
      </w:hyperlink>
      <w:r w:rsidR="00C96804" w:rsidRPr="00F820A5">
        <w:rPr>
          <w:rFonts w:ascii="Times New Roman" w:hAnsi="Times New Roman" w:cs="Times New Roman"/>
        </w:rPr>
        <w:t xml:space="preserve"> (tıklayınız)</w:t>
      </w:r>
    </w:p>
    <w:p w:rsidR="00C96804" w:rsidRPr="00F820A5" w:rsidRDefault="00C96804" w:rsidP="00A504DB">
      <w:pPr>
        <w:pStyle w:val="T6"/>
        <w:jc w:val="left"/>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10" w:history="1">
        <w:r w:rsidR="00C96804" w:rsidRPr="00F820A5">
          <w:rPr>
            <w:rStyle w:val="Kpr"/>
            <w:rFonts w:ascii="Times New Roman" w:hAnsi="Times New Roman" w:cs="Times New Roman"/>
          </w:rPr>
          <w:t>Göçmen İşçilerin ve Ailelerinin Haklarının Korunmasına Dair Birleşmiş Milletler Sözleşmesi</w:t>
        </w:r>
      </w:hyperlink>
      <w:r w:rsidR="00C96804" w:rsidRPr="00F820A5">
        <w:rPr>
          <w:rFonts w:ascii="Times New Roman" w:hAnsi="Times New Roman" w:cs="Times New Roman"/>
        </w:rPr>
        <w:t xml:space="preserve"> (tıklayınız)</w:t>
      </w:r>
    </w:p>
    <w:p w:rsidR="00C96804" w:rsidRPr="00F820A5" w:rsidRDefault="00C96804" w:rsidP="004D0170">
      <w:pPr>
        <w:pStyle w:val="T6"/>
        <w:rPr>
          <w:rFonts w:ascii="Times New Roman" w:hAnsi="Times New Roman" w:cs="Times New Roman"/>
        </w:rPr>
      </w:pPr>
    </w:p>
    <w:p w:rsidR="00C96804" w:rsidRPr="00F820A5" w:rsidRDefault="00C96804" w:rsidP="004D0170">
      <w:pPr>
        <w:pStyle w:val="T6"/>
        <w:rPr>
          <w:rFonts w:ascii="Times New Roman" w:hAnsi="Times New Roman" w:cs="Times New Roman"/>
        </w:rPr>
      </w:pPr>
    </w:p>
    <w:p w:rsidR="00E27E8B" w:rsidRPr="00F820A5" w:rsidRDefault="00E27E8B" w:rsidP="004D0170">
      <w:pPr>
        <w:pStyle w:val="T6"/>
        <w:rPr>
          <w:rFonts w:ascii="Times New Roman" w:hAnsi="Times New Roman" w:cs="Times New Roman"/>
        </w:rPr>
      </w:pPr>
      <w:r w:rsidRPr="00F820A5">
        <w:rPr>
          <w:rFonts w:ascii="Times New Roman" w:hAnsi="Times New Roman" w:cs="Times New Roman"/>
        </w:rPr>
        <w:t>Avrupa Konseyi Belgeleri</w:t>
      </w:r>
    </w:p>
    <w:p w:rsidR="00C96804" w:rsidRPr="00F820A5" w:rsidRDefault="00C96804" w:rsidP="004D0170">
      <w:pPr>
        <w:pStyle w:val="T6"/>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11" w:history="1">
        <w:r w:rsidR="00C96804" w:rsidRPr="00F820A5">
          <w:rPr>
            <w:rStyle w:val="Kpr"/>
            <w:rFonts w:ascii="Times New Roman" w:hAnsi="Times New Roman" w:cs="Times New Roman"/>
          </w:rPr>
          <w:t>Avrupa İnsan Hakları Sözleşmesi</w:t>
        </w:r>
      </w:hyperlink>
      <w:r w:rsidR="004D0170" w:rsidRPr="00F820A5">
        <w:rPr>
          <w:rFonts w:ascii="Times New Roman" w:hAnsi="Times New Roman" w:cs="Times New Roman"/>
        </w:rPr>
        <w:t xml:space="preserve"> (tıklayınız)</w:t>
      </w:r>
    </w:p>
    <w:p w:rsidR="00C96804" w:rsidRPr="00F820A5" w:rsidRDefault="00C96804" w:rsidP="00A504DB">
      <w:pPr>
        <w:pStyle w:val="T6"/>
        <w:jc w:val="left"/>
        <w:rPr>
          <w:rFonts w:ascii="Times New Roman" w:hAnsi="Times New Roman" w:cs="Times New Roman"/>
        </w:rPr>
      </w:pPr>
    </w:p>
    <w:p w:rsidR="00C96804" w:rsidRPr="00F820A5" w:rsidRDefault="00EA1A8F" w:rsidP="00A504DB">
      <w:pPr>
        <w:pStyle w:val="T6"/>
        <w:numPr>
          <w:ilvl w:val="0"/>
          <w:numId w:val="20"/>
        </w:numPr>
        <w:jc w:val="left"/>
        <w:rPr>
          <w:rFonts w:ascii="Times New Roman" w:hAnsi="Times New Roman" w:cs="Times New Roman"/>
        </w:rPr>
      </w:pPr>
      <w:hyperlink r:id="rId12" w:history="1">
        <w:r w:rsidR="00C96804" w:rsidRPr="00F820A5">
          <w:rPr>
            <w:rStyle w:val="Kpr"/>
            <w:rFonts w:ascii="Times New Roman" w:hAnsi="Times New Roman" w:cs="Times New Roman"/>
          </w:rPr>
          <w:t>Avrupa Sosyal Şartı</w:t>
        </w:r>
      </w:hyperlink>
      <w:r w:rsidR="00C96804" w:rsidRPr="00F820A5">
        <w:rPr>
          <w:rFonts w:ascii="Times New Roman" w:hAnsi="Times New Roman" w:cs="Times New Roman"/>
        </w:rPr>
        <w:t xml:space="preserve"> (tıklayınız)</w:t>
      </w:r>
    </w:p>
    <w:p w:rsidR="00C96804" w:rsidRPr="00F820A5" w:rsidRDefault="00C96804" w:rsidP="00A504DB">
      <w:pPr>
        <w:pStyle w:val="T6"/>
        <w:jc w:val="left"/>
        <w:rPr>
          <w:rFonts w:ascii="Times New Roman" w:hAnsi="Times New Roman" w:cs="Times New Roman"/>
        </w:rPr>
      </w:pPr>
    </w:p>
    <w:p w:rsidR="00C96804" w:rsidRPr="00F820A5" w:rsidRDefault="00C96804" w:rsidP="004D0170">
      <w:pPr>
        <w:pStyle w:val="T6"/>
        <w:rPr>
          <w:rFonts w:ascii="Times New Roman" w:hAnsi="Times New Roman" w:cs="Times New Roman"/>
        </w:rPr>
      </w:pPr>
    </w:p>
    <w:p w:rsidR="004D0170" w:rsidRPr="00F820A5" w:rsidRDefault="004D0170" w:rsidP="004D0170">
      <w:pPr>
        <w:pStyle w:val="T6"/>
        <w:rPr>
          <w:rFonts w:ascii="Times New Roman" w:hAnsi="Times New Roman" w:cs="Times New Roman"/>
        </w:rPr>
      </w:pPr>
      <w:r w:rsidRPr="00F820A5">
        <w:rPr>
          <w:rFonts w:ascii="Times New Roman" w:hAnsi="Times New Roman" w:cs="Times New Roman"/>
        </w:rPr>
        <w:tab/>
      </w:r>
    </w:p>
    <w:p w:rsidR="004D0170" w:rsidRPr="00F820A5" w:rsidRDefault="004D0170">
      <w:pPr>
        <w:rPr>
          <w:rFonts w:ascii="Times New Roman" w:eastAsia="Times New Roman" w:hAnsi="Times New Roman" w:cs="Times New Roman"/>
          <w:b/>
          <w:szCs w:val="20"/>
        </w:rPr>
      </w:pPr>
      <w:r w:rsidRPr="00F820A5">
        <w:rPr>
          <w:rFonts w:ascii="Times New Roman" w:hAnsi="Times New Roman" w:cs="Times New Roman"/>
        </w:rPr>
        <w:br w:type="page"/>
      </w:r>
    </w:p>
    <w:p w:rsidR="00E27E8B" w:rsidRPr="00F820A5" w:rsidRDefault="004D0170" w:rsidP="004D0170">
      <w:pPr>
        <w:pStyle w:val="T6"/>
        <w:rPr>
          <w:rFonts w:ascii="Times New Roman" w:hAnsi="Times New Roman" w:cs="Times New Roman"/>
        </w:rPr>
      </w:pPr>
      <w:r w:rsidRPr="00F820A5">
        <w:rPr>
          <w:rFonts w:ascii="Times New Roman" w:hAnsi="Times New Roman" w:cs="Times New Roman"/>
        </w:rPr>
        <w:lastRenderedPageBreak/>
        <w:t>İŞ HUKUKUYLA İLGİLİ DEVLET ORGANLARI</w:t>
      </w:r>
    </w:p>
    <w:p w:rsidR="00E27E8B" w:rsidRPr="00F820A5" w:rsidRDefault="00E27E8B" w:rsidP="004D0170">
      <w:pPr>
        <w:pStyle w:val="T6"/>
        <w:rPr>
          <w:rFonts w:ascii="Times New Roman" w:hAnsi="Times New Roman" w:cs="Times New Roman"/>
        </w:rPr>
      </w:pPr>
    </w:p>
    <w:p w:rsidR="00E27E8B" w:rsidRPr="00F820A5" w:rsidRDefault="00E27E8B" w:rsidP="004D0170">
      <w:pPr>
        <w:pStyle w:val="T6"/>
        <w:rPr>
          <w:rFonts w:ascii="Times New Roman" w:hAnsi="Times New Roman" w:cs="Times New Roman"/>
        </w:rPr>
      </w:pPr>
    </w:p>
    <w:p w:rsidR="00E27E8B" w:rsidRPr="00F820A5" w:rsidRDefault="00A504DB" w:rsidP="004D0170">
      <w:pPr>
        <w:pStyle w:val="T6"/>
        <w:rPr>
          <w:rFonts w:ascii="Times New Roman" w:hAnsi="Times New Roman" w:cs="Times New Roman"/>
        </w:rPr>
      </w:pPr>
      <w:r w:rsidRPr="00F820A5">
        <w:rPr>
          <w:rFonts w:ascii="Times New Roman" w:hAnsi="Times New Roman" w:cs="Times New Roman"/>
        </w:rPr>
        <w:t>İş Yargısı</w:t>
      </w:r>
    </w:p>
    <w:p w:rsidR="00A504DB" w:rsidRPr="00F820A5" w:rsidRDefault="00A504DB" w:rsidP="004D0170">
      <w:pPr>
        <w:pStyle w:val="T6"/>
        <w:rPr>
          <w:rFonts w:ascii="Times New Roman" w:hAnsi="Times New Roman" w:cs="Times New Roman"/>
        </w:rPr>
      </w:pPr>
    </w:p>
    <w:p w:rsidR="00A504DB" w:rsidRPr="00F820A5" w:rsidRDefault="00A504DB" w:rsidP="00A1105E">
      <w:pPr>
        <w:spacing w:after="0" w:line="240" w:lineRule="auto"/>
        <w:ind w:firstLine="567"/>
        <w:jc w:val="both"/>
        <w:rPr>
          <w:rFonts w:ascii="Times New Roman" w:hAnsi="Times New Roman" w:cs="Times New Roman"/>
          <w:b/>
          <w:bCs/>
        </w:rPr>
      </w:pPr>
      <w:r w:rsidRPr="00F820A5">
        <w:rPr>
          <w:rFonts w:ascii="Times New Roman" w:hAnsi="Times New Roman" w:cs="Times New Roman"/>
          <w:b/>
          <w:bCs/>
        </w:rPr>
        <w:t>7036 sayılı İş Mahkemeleri Kanunu</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İş mahkemelerinin kuruluşu</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2-</w:t>
      </w:r>
      <w:r w:rsidRPr="00F820A5">
        <w:rPr>
          <w:rFonts w:ascii="Times New Roman" w:hAnsi="Times New Roman" w:cs="Times New Roman"/>
        </w:rPr>
        <w:t xml:space="preserve"> (1) İş mahkemeleri, Hâkimler ve Savcılar Kurulunun olumlu görüşü alınarak, tek hâkimli ve asliye mahkemesi derecesinde Adalet Bakanlığınca lüzum görülen yerlerde kurulur. Bu mahkemelerin yargı çevresi, 26/9/2004 tarihli ve 5235 sayılı Adlî Yargı İlk Derece Mahkemeleri ile Bölge Adliye Mahkemelerinin Kuruluş, Görev ve Yetkileri Hakkında Kanun hükümlerine göre belirlenir.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(2) İş durumunun gerekli kıldığı yerlerde iş mahkemelerinin birden fazla dairesi oluşturulabilir. Bu daireler numaralandırılır. İhtisaslaşmanın sağlanması amacıyla, gelen işlerin yoğunluğu ve niteliği dikkate alınarak, daireler arasındaki iş dağılımı Hâkimler ve Savcılar Kurulu tarafından belirlenebilir. Bu kararlar Resmî Gazete’de yayımlanır. Daireler, tevzi edilen davalara bakmak zorundadır.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(3) İş mahkemesi kurulmamış olan yerlerde bu mahkemenin görev alanına giren dava ve işlere, o yerdeki asliye hukuk mahkemesince, bu Kanundaki usul ve esaslara göre bakılır.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 xml:space="preserve">Dava şartı olarak arabuluculuk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3-</w:t>
      </w:r>
      <w:r w:rsidRPr="00F820A5">
        <w:rPr>
          <w:rFonts w:ascii="Times New Roman" w:hAnsi="Times New Roman" w:cs="Times New Roman"/>
        </w:rPr>
        <w:t xml:space="preserve"> (1) Kanuna, bireysel veya toplu iş sözleşmesine dayanan işçi veya işveren alacağı ve tazminatı ile işe iade talebiyle açılan davalarda, arabulucuya başvurulmuş olması dava şartıdır.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(2) Davacı, arabuluculuk faaliyeti sonunda anlaşmaya varılamadığına ilişkin son tutanağın aslını veya arabulucu tarafından onaylanmış bir örneğini dava dilekçesine eklemek zorundadır. Bu zorunluluğa uyulmaması hâlinde mahkemece davacıya, son tutanağın bir haftalık kesin süre içinde mahkemeye sunulması gerektiği, aksi takdirde davanın usulden reddedileceği ihtarını içeren davetiye gönderilir. İhtarın gereği yerine getirilmez ise dava dilekçesi karşı tarafa tebliğe çıkarılmaksızın davanın usulden reddine karar verilir. Arabulucuya başvurulmadan dava açıldığının anlaşılması hâlinde herhangi bir işlem yapılmaksızın davanın, dava şartı yokluğu sebebiyle usulden reddine karar verilir.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(3) İş kazası veya meslek hastalığından kaynaklanan maddi ve manevi tazminat ile bunlarla ilgili tespit, itiraz ve rücu davaları hakkında birinci fıkra hükmü uygulanmaz.</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 (17) Arabuluculuk bürosuna başvurulmasından son tutanağın düzenlendiği tarihe kadar geçen sürede zamanaşımı durur ve hak düşürücü süre işlemez.</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Sosyal Güvenlik Kurumuna başvuru zorunluluğu</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4-</w:t>
      </w:r>
      <w:r w:rsidRPr="00F820A5">
        <w:rPr>
          <w:rFonts w:ascii="Times New Roman" w:hAnsi="Times New Roman" w:cs="Times New Roman"/>
        </w:rPr>
        <w:t xml:space="preserve"> (1) 31/5/2006 tarihli ve 5510 sayılı Sosyal Sigortalar ve Genel Sağlık Sigortası Kanunu ile diğer sosyal güvenlik mevzuatından kaynaklanan uyuşmazlıklarda, hizmet akdine tabi çalışmaları nedeniyle zorunlu sigortalılık sürelerinin tespiti talepleri hariç olmak üzere, dava açılmadan önce Sosyal Güvenlik Kurumuna başvurulması zorunludur. Diğer kanunlarda öngörülen süreler saklı kalmak kaydıyla yapılan başvuruya altmış gün içinde Kurumca cevap verilmezse talep reddedilmiş sayılır. Kuruma karşı dava açılabilmesi için taleplerin reddedilmesi veya reddedilmiş sayılması şarttır. Kuruma başvuruda geçirilecek süre zamanaşımı ve hak düşürücü sürelerin hesaplanmasında dikkate alınmaz.</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(2) Hizmet akdine tabi çalışmaları nedeniyle zorunlu sigortalılık sürelerinin tespiti talebi ile işveren aleyhine açılan davalarda, dava Kuruma resen ihbar edilir. İhbar üzerine davaya davalı yanında ferî müdahil olarak katılan Kurum, yanında katıldığı taraf başvurmasa dahi kanun yoluna başvurabilir. Kurum, yargılama sonucu verilecek kararı kesinleştikten sonra uygulamakla yükümlüdür.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Görev</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5-</w:t>
      </w:r>
      <w:r w:rsidRPr="00F820A5">
        <w:rPr>
          <w:rFonts w:ascii="Times New Roman" w:hAnsi="Times New Roman" w:cs="Times New Roman"/>
        </w:rPr>
        <w:t xml:space="preserve"> (1) İş mahkemeleri;</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a) 5953 sayılı Kanuna tabi gazeteciler, 854 sayılı Kanuna tabi </w:t>
      </w:r>
      <w:proofErr w:type="spellStart"/>
      <w:r w:rsidRPr="00F820A5">
        <w:rPr>
          <w:rFonts w:ascii="Times New Roman" w:hAnsi="Times New Roman" w:cs="Times New Roman"/>
        </w:rPr>
        <w:t>gemiadamları</w:t>
      </w:r>
      <w:proofErr w:type="spellEnd"/>
      <w:r w:rsidRPr="00F820A5">
        <w:rPr>
          <w:rFonts w:ascii="Times New Roman" w:hAnsi="Times New Roman" w:cs="Times New Roman"/>
        </w:rPr>
        <w:t xml:space="preserve">, </w:t>
      </w:r>
      <w:proofErr w:type="gramStart"/>
      <w:r w:rsidRPr="00F820A5">
        <w:rPr>
          <w:rFonts w:ascii="Times New Roman" w:hAnsi="Times New Roman" w:cs="Times New Roman"/>
        </w:rPr>
        <w:t>22/5/2003</w:t>
      </w:r>
      <w:proofErr w:type="gramEnd"/>
      <w:r w:rsidRPr="00F820A5">
        <w:rPr>
          <w:rFonts w:ascii="Times New Roman" w:hAnsi="Times New Roman" w:cs="Times New Roman"/>
        </w:rPr>
        <w:t xml:space="preserve"> tarihli ve 4857 sayılı İş Kanununa veya 11/1/2011 tarihli ve 6098 sayılı Türk Borçlar Kanununun İkinci Kısmının Altıncı Bölümünde düzenlenen hizmet sözleşmelerine tabi işçiler ile işveren veya işveren vekilleri arasında, iş ilişkisi nedeniyle sözleşmeden veya kanundan doğan her türlü hukuk uyuşmazlıklarına,</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lastRenderedPageBreak/>
        <w:t>b) İdari para cezalarına itirazlar ile 5510 sayılı Kanunun geçici 4 üncü maddesi kapsamındaki uyuşmazlıklar hariç olmak üzere Sosyal Güvenlik Kurumu veya Türkiye İş Kurumunun taraf olduğu iş ve sosyal güvenlik mevzuatından kaynaklanan uyuşmazlıklara,</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c) Diğer kanunlarda iş mahkemelerinin görevli olduğu belirtilen uyuşmazlıklara, </w:t>
      </w:r>
    </w:p>
    <w:p w:rsidR="00A504DB" w:rsidRPr="00F820A5" w:rsidRDefault="00A504DB" w:rsidP="00A1105E">
      <w:pPr>
        <w:spacing w:after="0" w:line="240" w:lineRule="auto"/>
        <w:ind w:firstLine="567"/>
        <w:jc w:val="both"/>
        <w:rPr>
          <w:rFonts w:ascii="Times New Roman" w:hAnsi="Times New Roman" w:cs="Times New Roman"/>
        </w:rPr>
      </w:pPr>
      <w:proofErr w:type="gramStart"/>
      <w:r w:rsidRPr="00F820A5">
        <w:rPr>
          <w:rFonts w:ascii="Times New Roman" w:hAnsi="Times New Roman" w:cs="Times New Roman"/>
        </w:rPr>
        <w:t>ilişkin</w:t>
      </w:r>
      <w:proofErr w:type="gramEnd"/>
      <w:r w:rsidRPr="00F820A5">
        <w:rPr>
          <w:rFonts w:ascii="Times New Roman" w:hAnsi="Times New Roman" w:cs="Times New Roman"/>
        </w:rPr>
        <w:t xml:space="preserve"> dava ve işlere bakar.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Yetki</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6-</w:t>
      </w:r>
      <w:r w:rsidRPr="00F820A5">
        <w:rPr>
          <w:rFonts w:ascii="Times New Roman" w:hAnsi="Times New Roman" w:cs="Times New Roman"/>
        </w:rPr>
        <w:t xml:space="preserve"> (1) İş mahkemelerinde açılacak davalarda yetkili mahkeme, davalı gerçek veya tüzel kişinin davanın açıldığı tarihteki yerleşim yeri mahkemesi ile işin veya işlemin yapıldığı yer mahkemesidir.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(2) Davalı birden fazla ise bunlardan birinin yerleşim yeri mahkemesi de yetkilidir.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(3) İş kazasından doğan tazminat davalarında, iş kazasının veya zararın meydana geldiği yer ile zarar gören işçinin yerleşim yeri mahkemesi de yetkilidir.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(4) İş mahkemelerinin yetkilerine ilişkin olarak diğer kanunlarda yer alan hükümler saklıdır.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(5) Bu madde hükümlerine aykırı yetki sözleşmeleri geçersizdir.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Yargılama usulü ve kanun yolları</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7-</w:t>
      </w:r>
      <w:r w:rsidRPr="00F820A5">
        <w:rPr>
          <w:rFonts w:ascii="Times New Roman" w:hAnsi="Times New Roman" w:cs="Times New Roman"/>
        </w:rPr>
        <w:t xml:space="preserve"> (1) İş mahkemelerinde basit yargılama usulü uygulanır.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(2) Davaların yığılması hâlinde, her bir talebe ilişkin vakıalar bakımından ispat yükü ve deliller ayrı ayrı değerlendirilir.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(3) 12/1/2011 tarihli ve 6100 sayılı Hukuk Muhakemeleri Kanununun kanun yollarına ilişkin hükümleri, iş mahkemelerince verilen kararlar hakkında da uygulanır.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(4) Kanun yoluna başvuru süresi, ilamın taraflara tebliğinden itibaren işlemeye başlar.2693</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(5) Kanun yoluna başvurulan kararlar, bölge adliye mahkemesi ve </w:t>
      </w:r>
      <w:proofErr w:type="spellStart"/>
      <w:r w:rsidRPr="00F820A5">
        <w:rPr>
          <w:rFonts w:ascii="Times New Roman" w:hAnsi="Times New Roman" w:cs="Times New Roman"/>
        </w:rPr>
        <w:t>Yargıtayca</w:t>
      </w:r>
      <w:proofErr w:type="spellEnd"/>
      <w:r w:rsidRPr="00F820A5">
        <w:rPr>
          <w:rFonts w:ascii="Times New Roman" w:hAnsi="Times New Roman" w:cs="Times New Roman"/>
        </w:rPr>
        <w:t xml:space="preserve"> ivedilikle karara bağlanır.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Temyiz edilemeyen kararlar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8-</w:t>
      </w:r>
      <w:r w:rsidRPr="00F820A5">
        <w:rPr>
          <w:rFonts w:ascii="Times New Roman" w:hAnsi="Times New Roman" w:cs="Times New Roman"/>
        </w:rPr>
        <w:t xml:space="preserve"> (1) Diğer kanunlardaki hükümler saklı kalmak kaydıyla, aşağıda belirtilen dava ve işlerde verilen kararlar hakkında temyiz yoluna başvurulamaz:</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a) 4857 sayılı Kanunun 20 </w:t>
      </w:r>
      <w:proofErr w:type="spellStart"/>
      <w:r w:rsidRPr="00F820A5">
        <w:rPr>
          <w:rFonts w:ascii="Times New Roman" w:hAnsi="Times New Roman" w:cs="Times New Roman"/>
        </w:rPr>
        <w:t>nci</w:t>
      </w:r>
      <w:proofErr w:type="spellEnd"/>
      <w:r w:rsidRPr="00F820A5">
        <w:rPr>
          <w:rFonts w:ascii="Times New Roman" w:hAnsi="Times New Roman" w:cs="Times New Roman"/>
        </w:rPr>
        <w:t xml:space="preserve"> maddesi uyarınca açılan fesih bildirimine itiraz davalarında verilen kararlar.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b) İşveren tarafından toplu iş sözleşmesi veya işyeri düzenlemeleri uyarınca işçiye verilen disiplin cezalarının iptali için açılan davalarda verilen kararlar.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c) 18/10/2012 tarihli ve 6356 sayılı Sendikalar ve Toplu İş Sözleşmesi Kanununun;</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1) 24 üncü maddesinin birinci ve beşinci fıkraları,</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2) 34 üncü maddesinin dördüncü fıkrası,</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3) 53 üncü maddesinin birinci fıkrası,</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4) 71 inci maddesinin birinci fıkrası, </w:t>
      </w:r>
    </w:p>
    <w:p w:rsidR="00A504DB" w:rsidRPr="00F820A5" w:rsidRDefault="00A504DB" w:rsidP="00A1105E">
      <w:pPr>
        <w:spacing w:after="0" w:line="240" w:lineRule="auto"/>
        <w:ind w:firstLine="567"/>
        <w:jc w:val="both"/>
        <w:rPr>
          <w:rFonts w:ascii="Times New Roman" w:hAnsi="Times New Roman" w:cs="Times New Roman"/>
        </w:rPr>
      </w:pPr>
      <w:proofErr w:type="gramStart"/>
      <w:r w:rsidRPr="00F820A5">
        <w:rPr>
          <w:rFonts w:ascii="Times New Roman" w:hAnsi="Times New Roman" w:cs="Times New Roman"/>
        </w:rPr>
        <w:t>kapsamında</w:t>
      </w:r>
      <w:proofErr w:type="gramEnd"/>
      <w:r w:rsidRPr="00F820A5">
        <w:rPr>
          <w:rFonts w:ascii="Times New Roman" w:hAnsi="Times New Roman" w:cs="Times New Roman"/>
        </w:rPr>
        <w:t xml:space="preserve"> açılan davalarda verilen kararlar.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ç) </w:t>
      </w:r>
      <w:proofErr w:type="gramStart"/>
      <w:r w:rsidRPr="00F820A5">
        <w:rPr>
          <w:rFonts w:ascii="Times New Roman" w:hAnsi="Times New Roman" w:cs="Times New Roman"/>
        </w:rPr>
        <w:t>25/6/2001</w:t>
      </w:r>
      <w:proofErr w:type="gramEnd"/>
      <w:r w:rsidRPr="00F820A5">
        <w:rPr>
          <w:rFonts w:ascii="Times New Roman" w:hAnsi="Times New Roman" w:cs="Times New Roman"/>
        </w:rPr>
        <w:t xml:space="preserve"> tarihli ve 4688 sayılı Kamu Görevlileri Sendikaları ve Toplu Sözleşme Kanununun;</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1) 10 uncu maddesinin sekizinci fıkrası,</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rPr>
        <w:t xml:space="preserve">2) 14 üncü maddesinin dördüncü fıkrası, </w:t>
      </w:r>
    </w:p>
    <w:p w:rsidR="00A504DB" w:rsidRPr="00F820A5" w:rsidRDefault="00A504DB" w:rsidP="00A1105E">
      <w:pPr>
        <w:spacing w:after="0" w:line="240" w:lineRule="auto"/>
        <w:ind w:firstLine="567"/>
        <w:jc w:val="both"/>
        <w:rPr>
          <w:rFonts w:ascii="Times New Roman" w:hAnsi="Times New Roman" w:cs="Times New Roman"/>
        </w:rPr>
      </w:pPr>
      <w:proofErr w:type="gramStart"/>
      <w:r w:rsidRPr="00F820A5">
        <w:rPr>
          <w:rFonts w:ascii="Times New Roman" w:hAnsi="Times New Roman" w:cs="Times New Roman"/>
        </w:rPr>
        <w:t>kapsamında</w:t>
      </w:r>
      <w:proofErr w:type="gramEnd"/>
      <w:r w:rsidRPr="00F820A5">
        <w:rPr>
          <w:rFonts w:ascii="Times New Roman" w:hAnsi="Times New Roman" w:cs="Times New Roman"/>
        </w:rPr>
        <w:t xml:space="preserve"> açılan davalarda verilen kararlar.</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 xml:space="preserve">Hüküm bulunmayan hâller </w:t>
      </w:r>
    </w:p>
    <w:p w:rsidR="00A504DB" w:rsidRPr="00F820A5" w:rsidRDefault="00A504DB" w:rsidP="00A1105E">
      <w:pPr>
        <w:spacing w:after="0" w:line="240" w:lineRule="auto"/>
        <w:ind w:firstLine="567"/>
        <w:jc w:val="both"/>
        <w:rPr>
          <w:rFonts w:ascii="Times New Roman" w:hAnsi="Times New Roman" w:cs="Times New Roman"/>
        </w:rPr>
      </w:pPr>
      <w:r w:rsidRPr="00F820A5">
        <w:rPr>
          <w:rFonts w:ascii="Times New Roman" w:hAnsi="Times New Roman" w:cs="Times New Roman"/>
          <w:b/>
          <w:bCs/>
        </w:rPr>
        <w:t>MADDE 9-</w:t>
      </w:r>
      <w:r w:rsidRPr="00F820A5">
        <w:rPr>
          <w:rFonts w:ascii="Times New Roman" w:hAnsi="Times New Roman" w:cs="Times New Roman"/>
        </w:rPr>
        <w:t xml:space="preserve"> Bu Kanunda hüküm bulunmayan hâllerde 6100 sayılı Kanun hükümleri uygulanır.</w:t>
      </w:r>
    </w:p>
    <w:p w:rsidR="00F33F39" w:rsidRPr="00F820A5" w:rsidRDefault="00F33F39" w:rsidP="00A1105E">
      <w:pPr>
        <w:spacing w:after="0"/>
        <w:jc w:val="center"/>
        <w:rPr>
          <w:rFonts w:ascii="Times New Roman" w:hAnsi="Times New Roman" w:cs="Times New Roman"/>
          <w:b/>
        </w:rPr>
      </w:pPr>
    </w:p>
    <w:p w:rsidR="00A504DB" w:rsidRPr="00F820A5" w:rsidRDefault="00A504DB" w:rsidP="00D420FA">
      <w:pPr>
        <w:jc w:val="center"/>
        <w:rPr>
          <w:rFonts w:ascii="Times New Roman" w:hAnsi="Times New Roman" w:cs="Times New Roman"/>
          <w:b/>
        </w:rPr>
      </w:pPr>
    </w:p>
    <w:sectPr w:rsidR="00A504DB" w:rsidRPr="00F820A5" w:rsidSect="00EA1A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25536"/>
    <w:multiLevelType w:val="multilevel"/>
    <w:tmpl w:val="64441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D628EE"/>
    <w:multiLevelType w:val="multilevel"/>
    <w:tmpl w:val="D520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E3A00"/>
    <w:multiLevelType w:val="hybridMultilevel"/>
    <w:tmpl w:val="919477DC"/>
    <w:lvl w:ilvl="0" w:tplc="041F0001">
      <w:start w:val="1"/>
      <w:numFmt w:val="bullet"/>
      <w:lvlText w:val=""/>
      <w:lvlJc w:val="left"/>
      <w:pPr>
        <w:ind w:left="1380" w:hanging="360"/>
      </w:pPr>
      <w:rPr>
        <w:rFonts w:ascii="Symbol" w:hAnsi="Symbol"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3">
    <w:nsid w:val="11FE024A"/>
    <w:multiLevelType w:val="multilevel"/>
    <w:tmpl w:val="EF2CF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AB794C"/>
    <w:multiLevelType w:val="multilevel"/>
    <w:tmpl w:val="4A5C23C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C4318"/>
    <w:multiLevelType w:val="hybridMultilevel"/>
    <w:tmpl w:val="A70E4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AC1056A"/>
    <w:multiLevelType w:val="multilevel"/>
    <w:tmpl w:val="C224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7E651D"/>
    <w:multiLevelType w:val="hybridMultilevel"/>
    <w:tmpl w:val="D1F8B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0F96AAE"/>
    <w:multiLevelType w:val="multilevel"/>
    <w:tmpl w:val="A0960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1F4B60"/>
    <w:multiLevelType w:val="multilevel"/>
    <w:tmpl w:val="C2888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532355"/>
    <w:multiLevelType w:val="multilevel"/>
    <w:tmpl w:val="6536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284517"/>
    <w:multiLevelType w:val="multilevel"/>
    <w:tmpl w:val="924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E7DD2"/>
    <w:multiLevelType w:val="multilevel"/>
    <w:tmpl w:val="485C585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4A4E9F"/>
    <w:multiLevelType w:val="multilevel"/>
    <w:tmpl w:val="DA9E6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C25484"/>
    <w:multiLevelType w:val="multilevel"/>
    <w:tmpl w:val="498C0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F5012D"/>
    <w:multiLevelType w:val="multilevel"/>
    <w:tmpl w:val="A092B102"/>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6">
    <w:nsid w:val="5F3E1B5B"/>
    <w:multiLevelType w:val="multilevel"/>
    <w:tmpl w:val="570E0B3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7E25FC"/>
    <w:multiLevelType w:val="multilevel"/>
    <w:tmpl w:val="CB3C3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A941D6"/>
    <w:multiLevelType w:val="multilevel"/>
    <w:tmpl w:val="CCDCC8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4D26BA"/>
    <w:multiLevelType w:val="multilevel"/>
    <w:tmpl w:val="C1AC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BB2DB3"/>
    <w:multiLevelType w:val="hybridMultilevel"/>
    <w:tmpl w:val="35BE075C"/>
    <w:lvl w:ilvl="0" w:tplc="86527C9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743444F0"/>
    <w:multiLevelType w:val="multilevel"/>
    <w:tmpl w:val="DA0207CC"/>
    <w:lvl w:ilvl="0">
      <w:start w:val="1"/>
      <w:numFmt w:val="upperRoman"/>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3"/>
  </w:num>
  <w:num w:numId="3">
    <w:abstractNumId w:val="8"/>
  </w:num>
  <w:num w:numId="4">
    <w:abstractNumId w:val="0"/>
  </w:num>
  <w:num w:numId="5">
    <w:abstractNumId w:val="13"/>
  </w:num>
  <w:num w:numId="6">
    <w:abstractNumId w:val="16"/>
  </w:num>
  <w:num w:numId="7">
    <w:abstractNumId w:val="14"/>
  </w:num>
  <w:num w:numId="8">
    <w:abstractNumId w:val="12"/>
  </w:num>
  <w:num w:numId="9">
    <w:abstractNumId w:val="4"/>
  </w:num>
  <w:num w:numId="10">
    <w:abstractNumId w:val="9"/>
  </w:num>
  <w:num w:numId="11">
    <w:abstractNumId w:val="18"/>
  </w:num>
  <w:num w:numId="12">
    <w:abstractNumId w:val="7"/>
  </w:num>
  <w:num w:numId="13">
    <w:abstractNumId w:val="15"/>
  </w:num>
  <w:num w:numId="14">
    <w:abstractNumId w:val="6"/>
  </w:num>
  <w:num w:numId="15">
    <w:abstractNumId w:val="11"/>
  </w:num>
  <w:num w:numId="16">
    <w:abstractNumId w:val="1"/>
  </w:num>
  <w:num w:numId="17">
    <w:abstractNumId w:val="10"/>
  </w:num>
  <w:num w:numId="18">
    <w:abstractNumId w:val="20"/>
  </w:num>
  <w:num w:numId="19">
    <w:abstractNumId w:val="2"/>
  </w:num>
  <w:num w:numId="20">
    <w:abstractNumId w:val="5"/>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420FA"/>
    <w:rsid w:val="004D0170"/>
    <w:rsid w:val="00A1105E"/>
    <w:rsid w:val="00A504DB"/>
    <w:rsid w:val="00AD1D24"/>
    <w:rsid w:val="00C96804"/>
    <w:rsid w:val="00D3029F"/>
    <w:rsid w:val="00D420FA"/>
    <w:rsid w:val="00E27E8B"/>
    <w:rsid w:val="00EA1A8F"/>
    <w:rsid w:val="00F33F39"/>
    <w:rsid w:val="00F820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A8F"/>
  </w:style>
  <w:style w:type="paragraph" w:styleId="Balk1">
    <w:name w:val="heading 1"/>
    <w:basedOn w:val="Normal"/>
    <w:link w:val="Balk1Char"/>
    <w:uiPriority w:val="9"/>
    <w:qFormat/>
    <w:rsid w:val="00F33F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C96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F33F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6Char">
    <w:name w:val="İÇT 6 Char"/>
    <w:basedOn w:val="VarsaylanParagrafYazTipi"/>
    <w:link w:val="T6"/>
    <w:rsid w:val="004D0170"/>
    <w:rPr>
      <w:rFonts w:eastAsia="Times New Roman" w:cstheme="minorHAnsi"/>
      <w:b/>
      <w:szCs w:val="20"/>
    </w:rPr>
  </w:style>
  <w:style w:type="character" w:customStyle="1" w:styleId="Tableofcontents2">
    <w:name w:val="Table of contents (2)_"/>
    <w:basedOn w:val="VarsaylanParagrafYazTipi"/>
    <w:link w:val="Tableofcontents20"/>
    <w:rsid w:val="00F33F39"/>
    <w:rPr>
      <w:rFonts w:ascii="Times New Roman" w:eastAsia="Times New Roman" w:hAnsi="Times New Roman" w:cs="Times New Roman"/>
      <w:b/>
      <w:bCs/>
      <w:sz w:val="20"/>
      <w:szCs w:val="20"/>
      <w:shd w:val="clear" w:color="auto" w:fill="FFFFFF"/>
    </w:rPr>
  </w:style>
  <w:style w:type="character" w:customStyle="1" w:styleId="Tableofcontents2NotBold">
    <w:name w:val="Table of contents (2) + Not Bold"/>
    <w:basedOn w:val="Tableofcontents2"/>
    <w:rsid w:val="00F33F39"/>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TableofcontentsArial95ptItalic">
    <w:name w:val="Table of contents + Arial;9;5 pt;Italic"/>
    <w:basedOn w:val="T6Char"/>
    <w:rsid w:val="00F33F39"/>
    <w:rPr>
      <w:rFonts w:ascii="Arial" w:eastAsia="Arial" w:hAnsi="Arial" w:cs="Arial"/>
      <w:b/>
      <w:i/>
      <w:iCs/>
      <w:color w:val="000000"/>
      <w:spacing w:val="0"/>
      <w:w w:val="100"/>
      <w:position w:val="0"/>
      <w:sz w:val="19"/>
      <w:szCs w:val="19"/>
      <w:lang w:val="tr-TR" w:eastAsia="tr-TR" w:bidi="tr-TR"/>
    </w:rPr>
  </w:style>
  <w:style w:type="paragraph" w:styleId="T6">
    <w:name w:val="toc 6"/>
    <w:basedOn w:val="Normal"/>
    <w:link w:val="T6Char"/>
    <w:autoRedefine/>
    <w:rsid w:val="004D0170"/>
    <w:pPr>
      <w:widowControl w:val="0"/>
      <w:tabs>
        <w:tab w:val="left" w:pos="958"/>
        <w:tab w:val="right" w:leader="dot" w:pos="6986"/>
      </w:tabs>
      <w:spacing w:after="0" w:line="276" w:lineRule="exact"/>
      <w:ind w:left="720"/>
      <w:jc w:val="center"/>
    </w:pPr>
    <w:rPr>
      <w:rFonts w:eastAsia="Times New Roman" w:cstheme="minorHAnsi"/>
      <w:b/>
      <w:szCs w:val="20"/>
    </w:rPr>
  </w:style>
  <w:style w:type="paragraph" w:customStyle="1" w:styleId="Tableofcontents20">
    <w:name w:val="Table of contents (2)"/>
    <w:basedOn w:val="Normal"/>
    <w:link w:val="Tableofcontents2"/>
    <w:rsid w:val="00F33F39"/>
    <w:pPr>
      <w:widowControl w:val="0"/>
      <w:shd w:val="clear" w:color="auto" w:fill="FFFFFF"/>
      <w:spacing w:before="160" w:after="0" w:line="276" w:lineRule="exact"/>
      <w:jc w:val="both"/>
    </w:pPr>
    <w:rPr>
      <w:rFonts w:ascii="Times New Roman" w:eastAsia="Times New Roman" w:hAnsi="Times New Roman" w:cs="Times New Roman"/>
      <w:b/>
      <w:bCs/>
      <w:sz w:val="20"/>
      <w:szCs w:val="20"/>
    </w:rPr>
  </w:style>
  <w:style w:type="character" w:customStyle="1" w:styleId="Balk1Char">
    <w:name w:val="Başlık 1 Char"/>
    <w:basedOn w:val="VarsaylanParagrafYazTipi"/>
    <w:link w:val="Balk1"/>
    <w:uiPriority w:val="9"/>
    <w:rsid w:val="00F33F39"/>
    <w:rPr>
      <w:rFonts w:ascii="Times New Roman" w:eastAsia="Times New Roman" w:hAnsi="Times New Roman" w:cs="Times New Roman"/>
      <w:b/>
      <w:bCs/>
      <w:kern w:val="36"/>
      <w:sz w:val="48"/>
      <w:szCs w:val="48"/>
      <w:lang w:eastAsia="tr-TR"/>
    </w:rPr>
  </w:style>
  <w:style w:type="character" w:styleId="Vurgu">
    <w:name w:val="Emphasis"/>
    <w:basedOn w:val="VarsaylanParagrafYazTipi"/>
    <w:uiPriority w:val="20"/>
    <w:qFormat/>
    <w:rsid w:val="00F33F39"/>
    <w:rPr>
      <w:i/>
      <w:iCs/>
    </w:rPr>
  </w:style>
  <w:style w:type="character" w:styleId="Kpr">
    <w:name w:val="Hyperlink"/>
    <w:basedOn w:val="VarsaylanParagrafYazTipi"/>
    <w:uiPriority w:val="99"/>
    <w:unhideWhenUsed/>
    <w:rsid w:val="00F33F39"/>
    <w:rPr>
      <w:color w:val="0563C1" w:themeColor="hyperlink"/>
      <w:u w:val="single"/>
    </w:rPr>
  </w:style>
  <w:style w:type="character" w:customStyle="1" w:styleId="UnresolvedMention">
    <w:name w:val="Unresolved Mention"/>
    <w:basedOn w:val="VarsaylanParagrafYazTipi"/>
    <w:uiPriority w:val="99"/>
    <w:semiHidden/>
    <w:unhideWhenUsed/>
    <w:rsid w:val="00F33F39"/>
    <w:rPr>
      <w:color w:val="808080"/>
      <w:shd w:val="clear" w:color="auto" w:fill="E6E6E6"/>
    </w:rPr>
  </w:style>
  <w:style w:type="character" w:customStyle="1" w:styleId="Balk3Char">
    <w:name w:val="Başlık 3 Char"/>
    <w:basedOn w:val="VarsaylanParagrafYazTipi"/>
    <w:link w:val="Balk3"/>
    <w:uiPriority w:val="9"/>
    <w:semiHidden/>
    <w:rsid w:val="00F33F39"/>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E27E8B"/>
    <w:pPr>
      <w:ind w:left="720"/>
      <w:contextualSpacing/>
    </w:pPr>
  </w:style>
  <w:style w:type="character" w:customStyle="1" w:styleId="Balk2Char">
    <w:name w:val="Başlık 2 Char"/>
    <w:basedOn w:val="VarsaylanParagrafYazTipi"/>
    <w:link w:val="Balk2"/>
    <w:uiPriority w:val="9"/>
    <w:semiHidden/>
    <w:rsid w:val="00C9680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968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elgeBalantlar">
    <w:name w:val="Document Map"/>
    <w:basedOn w:val="Normal"/>
    <w:link w:val="BelgeBalantlarChar"/>
    <w:uiPriority w:val="99"/>
    <w:semiHidden/>
    <w:unhideWhenUsed/>
    <w:rsid w:val="00A1105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A110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557403">
      <w:bodyDiv w:val="1"/>
      <w:marLeft w:val="0"/>
      <w:marRight w:val="0"/>
      <w:marTop w:val="0"/>
      <w:marBottom w:val="0"/>
      <w:divBdr>
        <w:top w:val="none" w:sz="0" w:space="0" w:color="auto"/>
        <w:left w:val="none" w:sz="0" w:space="0" w:color="auto"/>
        <w:bottom w:val="none" w:sz="0" w:space="0" w:color="auto"/>
        <w:right w:val="none" w:sz="0" w:space="0" w:color="auto"/>
      </w:divBdr>
      <w:divsChild>
        <w:div w:id="900335163">
          <w:marLeft w:val="-225"/>
          <w:marRight w:val="-225"/>
          <w:marTop w:val="0"/>
          <w:marBottom w:val="0"/>
          <w:divBdr>
            <w:top w:val="none" w:sz="0" w:space="0" w:color="auto"/>
            <w:left w:val="none" w:sz="0" w:space="0" w:color="auto"/>
            <w:bottom w:val="none" w:sz="0" w:space="0" w:color="auto"/>
            <w:right w:val="none" w:sz="0" w:space="0" w:color="auto"/>
          </w:divBdr>
          <w:divsChild>
            <w:div w:id="2139059313">
              <w:marLeft w:val="0"/>
              <w:marRight w:val="0"/>
              <w:marTop w:val="0"/>
              <w:marBottom w:val="0"/>
              <w:divBdr>
                <w:top w:val="none" w:sz="0" w:space="0" w:color="auto"/>
                <w:left w:val="none" w:sz="0" w:space="0" w:color="auto"/>
                <w:bottom w:val="none" w:sz="0" w:space="0" w:color="auto"/>
                <w:right w:val="none" w:sz="0" w:space="0" w:color="auto"/>
              </w:divBdr>
              <w:divsChild>
                <w:div w:id="851800782">
                  <w:marLeft w:val="0"/>
                  <w:marRight w:val="0"/>
                  <w:marTop w:val="450"/>
                  <w:marBottom w:val="0"/>
                  <w:divBdr>
                    <w:top w:val="none" w:sz="0" w:space="0" w:color="auto"/>
                    <w:left w:val="none" w:sz="0" w:space="0" w:color="auto"/>
                    <w:bottom w:val="none" w:sz="0" w:space="0" w:color="auto"/>
                    <w:right w:val="none" w:sz="0" w:space="0" w:color="auto"/>
                  </w:divBdr>
                  <w:divsChild>
                    <w:div w:id="11238863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48835701">
      <w:bodyDiv w:val="1"/>
      <w:marLeft w:val="0"/>
      <w:marRight w:val="0"/>
      <w:marTop w:val="0"/>
      <w:marBottom w:val="0"/>
      <w:divBdr>
        <w:top w:val="none" w:sz="0" w:space="0" w:color="auto"/>
        <w:left w:val="none" w:sz="0" w:space="0" w:color="auto"/>
        <w:bottom w:val="none" w:sz="0" w:space="0" w:color="auto"/>
        <w:right w:val="none" w:sz="0" w:space="0" w:color="auto"/>
      </w:divBdr>
    </w:div>
    <w:div w:id="1006901665">
      <w:bodyDiv w:val="1"/>
      <w:marLeft w:val="0"/>
      <w:marRight w:val="0"/>
      <w:marTop w:val="0"/>
      <w:marBottom w:val="0"/>
      <w:divBdr>
        <w:top w:val="none" w:sz="0" w:space="0" w:color="auto"/>
        <w:left w:val="none" w:sz="0" w:space="0" w:color="auto"/>
        <w:bottom w:val="none" w:sz="0" w:space="0" w:color="auto"/>
        <w:right w:val="none" w:sz="0" w:space="0" w:color="auto"/>
      </w:divBdr>
      <w:divsChild>
        <w:div w:id="876312676">
          <w:marLeft w:val="-225"/>
          <w:marRight w:val="-225"/>
          <w:marTop w:val="0"/>
          <w:marBottom w:val="0"/>
          <w:divBdr>
            <w:top w:val="none" w:sz="0" w:space="0" w:color="auto"/>
            <w:left w:val="none" w:sz="0" w:space="0" w:color="auto"/>
            <w:bottom w:val="none" w:sz="0" w:space="0" w:color="auto"/>
            <w:right w:val="none" w:sz="0" w:space="0" w:color="auto"/>
          </w:divBdr>
          <w:divsChild>
            <w:div w:id="1035234126">
              <w:marLeft w:val="0"/>
              <w:marRight w:val="0"/>
              <w:marTop w:val="0"/>
              <w:marBottom w:val="0"/>
              <w:divBdr>
                <w:top w:val="none" w:sz="0" w:space="0" w:color="auto"/>
                <w:left w:val="none" w:sz="0" w:space="0" w:color="auto"/>
                <w:bottom w:val="none" w:sz="0" w:space="0" w:color="auto"/>
                <w:right w:val="none" w:sz="0" w:space="0" w:color="auto"/>
              </w:divBdr>
              <w:divsChild>
                <w:div w:id="2130855656">
                  <w:marLeft w:val="0"/>
                  <w:marRight w:val="0"/>
                  <w:marTop w:val="450"/>
                  <w:marBottom w:val="0"/>
                  <w:divBdr>
                    <w:top w:val="none" w:sz="0" w:space="0" w:color="auto"/>
                    <w:left w:val="none" w:sz="0" w:space="0" w:color="auto"/>
                    <w:bottom w:val="none" w:sz="0" w:space="0" w:color="auto"/>
                    <w:right w:val="none" w:sz="0" w:space="0" w:color="auto"/>
                  </w:divBdr>
                  <w:divsChild>
                    <w:div w:id="1409619416">
                      <w:marLeft w:val="0"/>
                      <w:marRight w:val="0"/>
                      <w:marTop w:val="450"/>
                      <w:marBottom w:val="0"/>
                      <w:divBdr>
                        <w:top w:val="none" w:sz="0" w:space="0" w:color="auto"/>
                        <w:left w:val="none" w:sz="0" w:space="0" w:color="auto"/>
                        <w:bottom w:val="none" w:sz="0" w:space="0" w:color="auto"/>
                        <w:right w:val="none" w:sz="0" w:space="0" w:color="auto"/>
                      </w:divBdr>
                      <w:divsChild>
                        <w:div w:id="193886345">
                          <w:blockQuote w:val="1"/>
                          <w:marLeft w:val="0"/>
                          <w:marRight w:val="0"/>
                          <w:marTop w:val="300"/>
                          <w:marBottom w:val="0"/>
                          <w:divBdr>
                            <w:top w:val="none" w:sz="0" w:space="0" w:color="auto"/>
                            <w:left w:val="none" w:sz="0" w:space="0" w:color="auto"/>
                            <w:bottom w:val="none" w:sz="0" w:space="0" w:color="auto"/>
                            <w:right w:val="none" w:sz="0" w:space="0" w:color="auto"/>
                          </w:divBdr>
                          <w:divsChild>
                            <w:div w:id="263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406619">
      <w:bodyDiv w:val="1"/>
      <w:marLeft w:val="0"/>
      <w:marRight w:val="0"/>
      <w:marTop w:val="0"/>
      <w:marBottom w:val="0"/>
      <w:divBdr>
        <w:top w:val="none" w:sz="0" w:space="0" w:color="auto"/>
        <w:left w:val="none" w:sz="0" w:space="0" w:color="auto"/>
        <w:bottom w:val="none" w:sz="0" w:space="0" w:color="auto"/>
        <w:right w:val="none" w:sz="0" w:space="0" w:color="auto"/>
      </w:divBdr>
    </w:div>
    <w:div w:id="1304697479">
      <w:bodyDiv w:val="1"/>
      <w:marLeft w:val="0"/>
      <w:marRight w:val="0"/>
      <w:marTop w:val="0"/>
      <w:marBottom w:val="0"/>
      <w:divBdr>
        <w:top w:val="none" w:sz="0" w:space="0" w:color="auto"/>
        <w:left w:val="none" w:sz="0" w:space="0" w:color="auto"/>
        <w:bottom w:val="none" w:sz="0" w:space="0" w:color="auto"/>
        <w:right w:val="none" w:sz="0" w:space="0" w:color="auto"/>
      </w:divBdr>
      <w:divsChild>
        <w:div w:id="688994153">
          <w:marLeft w:val="-225"/>
          <w:marRight w:val="-225"/>
          <w:marTop w:val="0"/>
          <w:marBottom w:val="0"/>
          <w:divBdr>
            <w:top w:val="none" w:sz="0" w:space="0" w:color="auto"/>
            <w:left w:val="none" w:sz="0" w:space="0" w:color="auto"/>
            <w:bottom w:val="none" w:sz="0" w:space="0" w:color="auto"/>
            <w:right w:val="none" w:sz="0" w:space="0" w:color="auto"/>
          </w:divBdr>
          <w:divsChild>
            <w:div w:id="874316234">
              <w:marLeft w:val="0"/>
              <w:marRight w:val="0"/>
              <w:marTop w:val="0"/>
              <w:marBottom w:val="0"/>
              <w:divBdr>
                <w:top w:val="none" w:sz="0" w:space="0" w:color="auto"/>
                <w:left w:val="none" w:sz="0" w:space="0" w:color="auto"/>
                <w:bottom w:val="none" w:sz="0" w:space="0" w:color="auto"/>
                <w:right w:val="none" w:sz="0" w:space="0" w:color="auto"/>
              </w:divBdr>
              <w:divsChild>
                <w:div w:id="883177564">
                  <w:marLeft w:val="0"/>
                  <w:marRight w:val="0"/>
                  <w:marTop w:val="450"/>
                  <w:marBottom w:val="0"/>
                  <w:divBdr>
                    <w:top w:val="none" w:sz="0" w:space="0" w:color="auto"/>
                    <w:left w:val="none" w:sz="0" w:space="0" w:color="auto"/>
                    <w:bottom w:val="none" w:sz="0" w:space="0" w:color="auto"/>
                    <w:right w:val="none" w:sz="0" w:space="0" w:color="auto"/>
                  </w:divBdr>
                  <w:divsChild>
                    <w:div w:id="2263826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06812190">
      <w:bodyDiv w:val="1"/>
      <w:marLeft w:val="0"/>
      <w:marRight w:val="0"/>
      <w:marTop w:val="0"/>
      <w:marBottom w:val="0"/>
      <w:divBdr>
        <w:top w:val="none" w:sz="0" w:space="0" w:color="auto"/>
        <w:left w:val="none" w:sz="0" w:space="0" w:color="auto"/>
        <w:bottom w:val="none" w:sz="0" w:space="0" w:color="auto"/>
        <w:right w:val="none" w:sz="0" w:space="0" w:color="auto"/>
      </w:divBdr>
    </w:div>
    <w:div w:id="1611038321">
      <w:bodyDiv w:val="1"/>
      <w:marLeft w:val="0"/>
      <w:marRight w:val="0"/>
      <w:marTop w:val="0"/>
      <w:marBottom w:val="0"/>
      <w:divBdr>
        <w:top w:val="none" w:sz="0" w:space="0" w:color="auto"/>
        <w:left w:val="none" w:sz="0" w:space="0" w:color="auto"/>
        <w:bottom w:val="none" w:sz="0" w:space="0" w:color="auto"/>
        <w:right w:val="none" w:sz="0" w:space="0" w:color="auto"/>
      </w:divBdr>
      <w:divsChild>
        <w:div w:id="909997323">
          <w:marLeft w:val="-225"/>
          <w:marRight w:val="-225"/>
          <w:marTop w:val="0"/>
          <w:marBottom w:val="0"/>
          <w:divBdr>
            <w:top w:val="none" w:sz="0" w:space="0" w:color="auto"/>
            <w:left w:val="none" w:sz="0" w:space="0" w:color="auto"/>
            <w:bottom w:val="none" w:sz="0" w:space="0" w:color="auto"/>
            <w:right w:val="none" w:sz="0" w:space="0" w:color="auto"/>
          </w:divBdr>
          <w:divsChild>
            <w:div w:id="1534656710">
              <w:marLeft w:val="0"/>
              <w:marRight w:val="0"/>
              <w:marTop w:val="0"/>
              <w:marBottom w:val="0"/>
              <w:divBdr>
                <w:top w:val="none" w:sz="0" w:space="0" w:color="auto"/>
                <w:left w:val="none" w:sz="0" w:space="0" w:color="auto"/>
                <w:bottom w:val="none" w:sz="0" w:space="0" w:color="auto"/>
                <w:right w:val="none" w:sz="0" w:space="0" w:color="auto"/>
              </w:divBdr>
              <w:divsChild>
                <w:div w:id="1249734579">
                  <w:marLeft w:val="0"/>
                  <w:marRight w:val="0"/>
                  <w:marTop w:val="450"/>
                  <w:marBottom w:val="0"/>
                  <w:divBdr>
                    <w:top w:val="none" w:sz="0" w:space="0" w:color="auto"/>
                    <w:left w:val="none" w:sz="0" w:space="0" w:color="auto"/>
                    <w:bottom w:val="none" w:sz="0" w:space="0" w:color="auto"/>
                    <w:right w:val="none" w:sz="0" w:space="0" w:color="auto"/>
                  </w:divBdr>
                  <w:divsChild>
                    <w:div w:id="494414863">
                      <w:marLeft w:val="0"/>
                      <w:marRight w:val="0"/>
                      <w:marTop w:val="450"/>
                      <w:marBottom w:val="0"/>
                      <w:divBdr>
                        <w:top w:val="none" w:sz="0" w:space="0" w:color="auto"/>
                        <w:left w:val="none" w:sz="0" w:space="0" w:color="auto"/>
                        <w:bottom w:val="none" w:sz="0" w:space="0" w:color="auto"/>
                        <w:right w:val="none" w:sz="0" w:space="0" w:color="auto"/>
                      </w:divBdr>
                      <w:divsChild>
                        <w:div w:id="314451030">
                          <w:blockQuote w:val="1"/>
                          <w:marLeft w:val="0"/>
                          <w:marRight w:val="0"/>
                          <w:marTop w:val="300"/>
                          <w:marBottom w:val="0"/>
                          <w:divBdr>
                            <w:top w:val="none" w:sz="0" w:space="0" w:color="auto"/>
                            <w:left w:val="none" w:sz="0" w:space="0" w:color="auto"/>
                            <w:bottom w:val="none" w:sz="0" w:space="0" w:color="auto"/>
                            <w:right w:val="none" w:sz="0" w:space="0" w:color="auto"/>
                          </w:divBdr>
                          <w:divsChild>
                            <w:div w:id="5090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226205">
      <w:bodyDiv w:val="1"/>
      <w:marLeft w:val="0"/>
      <w:marRight w:val="0"/>
      <w:marTop w:val="0"/>
      <w:marBottom w:val="0"/>
      <w:divBdr>
        <w:top w:val="none" w:sz="0" w:space="0" w:color="auto"/>
        <w:left w:val="none" w:sz="0" w:space="0" w:color="auto"/>
        <w:bottom w:val="none" w:sz="0" w:space="0" w:color="auto"/>
        <w:right w:val="none" w:sz="0" w:space="0" w:color="auto"/>
      </w:divBdr>
    </w:div>
    <w:div w:id="2029482918">
      <w:bodyDiv w:val="1"/>
      <w:marLeft w:val="0"/>
      <w:marRight w:val="0"/>
      <w:marTop w:val="0"/>
      <w:marBottom w:val="0"/>
      <w:divBdr>
        <w:top w:val="none" w:sz="0" w:space="0" w:color="auto"/>
        <w:left w:val="none" w:sz="0" w:space="0" w:color="auto"/>
        <w:bottom w:val="none" w:sz="0" w:space="0" w:color="auto"/>
        <w:right w:val="none" w:sz="0" w:space="0" w:color="auto"/>
      </w:divBdr>
      <w:divsChild>
        <w:div w:id="1273632673">
          <w:marLeft w:val="-225"/>
          <w:marRight w:val="-225"/>
          <w:marTop w:val="0"/>
          <w:marBottom w:val="0"/>
          <w:divBdr>
            <w:top w:val="none" w:sz="0" w:space="0" w:color="auto"/>
            <w:left w:val="none" w:sz="0" w:space="0" w:color="auto"/>
            <w:bottom w:val="none" w:sz="0" w:space="0" w:color="auto"/>
            <w:right w:val="none" w:sz="0" w:space="0" w:color="auto"/>
          </w:divBdr>
          <w:divsChild>
            <w:div w:id="344331024">
              <w:marLeft w:val="0"/>
              <w:marRight w:val="0"/>
              <w:marTop w:val="0"/>
              <w:marBottom w:val="0"/>
              <w:divBdr>
                <w:top w:val="none" w:sz="0" w:space="0" w:color="auto"/>
                <w:left w:val="none" w:sz="0" w:space="0" w:color="auto"/>
                <w:bottom w:val="none" w:sz="0" w:space="0" w:color="auto"/>
                <w:right w:val="none" w:sz="0" w:space="0" w:color="auto"/>
              </w:divBdr>
              <w:divsChild>
                <w:div w:id="459301759">
                  <w:marLeft w:val="0"/>
                  <w:marRight w:val="0"/>
                  <w:marTop w:val="450"/>
                  <w:marBottom w:val="0"/>
                  <w:divBdr>
                    <w:top w:val="none" w:sz="0" w:space="0" w:color="auto"/>
                    <w:left w:val="none" w:sz="0" w:space="0" w:color="auto"/>
                    <w:bottom w:val="none" w:sz="0" w:space="0" w:color="auto"/>
                    <w:right w:val="none" w:sz="0" w:space="0" w:color="auto"/>
                  </w:divBdr>
                  <w:divsChild>
                    <w:div w:id="1015425748">
                      <w:marLeft w:val="0"/>
                      <w:marRight w:val="0"/>
                      <w:marTop w:val="450"/>
                      <w:marBottom w:val="0"/>
                      <w:divBdr>
                        <w:top w:val="none" w:sz="0" w:space="0" w:color="auto"/>
                        <w:left w:val="none" w:sz="0" w:space="0" w:color="auto"/>
                        <w:bottom w:val="none" w:sz="0" w:space="0" w:color="auto"/>
                        <w:right w:val="none" w:sz="0" w:space="0" w:color="auto"/>
                      </w:divBdr>
                      <w:divsChild>
                        <w:div w:id="1724132873">
                          <w:blockQuote w:val="1"/>
                          <w:marLeft w:val="0"/>
                          <w:marRight w:val="0"/>
                          <w:marTop w:val="300"/>
                          <w:marBottom w:val="0"/>
                          <w:divBdr>
                            <w:top w:val="none" w:sz="0" w:space="0" w:color="auto"/>
                            <w:left w:val="none" w:sz="0" w:space="0" w:color="auto"/>
                            <w:bottom w:val="none" w:sz="0" w:space="0" w:color="auto"/>
                            <w:right w:val="none" w:sz="0" w:space="0" w:color="auto"/>
                          </w:divBdr>
                          <w:divsChild>
                            <w:div w:id="959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turkey/cedaw/_gi1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icankara.org.tr/doc_pdf/metin134.pdf" TargetMode="External"/><Relationship Id="rId12" Type="http://schemas.openxmlformats.org/officeDocument/2006/relationships/hyperlink" Target="https://www.csgb.gov.tr/media/2077/avrupasosyalsart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lo.org/wcmsp5/groups/public/---europe/---ro-geneva/---ilo-ankara/documents/publication/wcms_412382.pdf" TargetMode="External"/><Relationship Id="rId11" Type="http://schemas.openxmlformats.org/officeDocument/2006/relationships/hyperlink" Target="http://www.echr.coe.int/Documents/Convention_TUR.pdf" TargetMode="External"/><Relationship Id="rId5" Type="http://schemas.openxmlformats.org/officeDocument/2006/relationships/webSettings" Target="webSettings.xml"/><Relationship Id="rId10" Type="http://schemas.openxmlformats.org/officeDocument/2006/relationships/hyperlink" Target="https://www.tbmm.gov.tr/kanunlar/k4662.html" TargetMode="External"/><Relationship Id="rId4" Type="http://schemas.openxmlformats.org/officeDocument/2006/relationships/settings" Target="settings.xml"/><Relationship Id="rId9" Type="http://schemas.openxmlformats.org/officeDocument/2006/relationships/hyperlink" Target="https://www.unicef.org/turkey/crc/_cr23c.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9176-C0F7-48C8-9785-AC6FECA9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3525</Words>
  <Characters>20095</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user</cp:lastModifiedBy>
  <cp:revision>6</cp:revision>
  <dcterms:created xsi:type="dcterms:W3CDTF">2017-11-18T14:41:00Z</dcterms:created>
  <dcterms:modified xsi:type="dcterms:W3CDTF">2018-04-25T12:45:00Z</dcterms:modified>
</cp:coreProperties>
</file>