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52D1" w:rsidP="0074309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Ağrılı </w:t>
            </w:r>
            <w:r w:rsidR="00743099">
              <w:rPr>
                <w:b/>
                <w:bCs/>
                <w:szCs w:val="16"/>
              </w:rPr>
              <w:t>hastanın değerlendirilmesi: Akut ağrı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Güngör Enver Özgencil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52D1" w:rsidP="007430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Ağrılı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43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</w:t>
            </w:r>
            <w:r w:rsidR="00BC52D1">
              <w:rPr>
                <w:szCs w:val="16"/>
              </w:rPr>
              <w:t>ğrılı hastaya yaklaşım</w:t>
            </w:r>
            <w:r>
              <w:rPr>
                <w:szCs w:val="16"/>
              </w:rPr>
              <w:t xml:space="preserve"> ve tedavi prensipleri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309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743099"/>
    <w:rsid w:val="00832BE3"/>
    <w:rsid w:val="00BC32DD"/>
    <w:rsid w:val="00B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2018-04-30T20:44:00Z</dcterms:created>
  <dcterms:modified xsi:type="dcterms:W3CDTF">2018-04-30T20:44:00Z</dcterms:modified>
</cp:coreProperties>
</file>