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Enfeksiyon etkeninin, toksinlerinin ve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immün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yanıtın yol açtığı patolojik değişiklikler sonucu deride meydana gelen lezyonlara döküntü (=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rash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) adı verilir.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Anamnez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 ve öykü;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döküntülü 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enfeksiyon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hastalıkları, aşıları, ateşli bir hasta ile aynı ortamda bulunma, ilaç kullanımı, meslek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anamnezi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, seyahat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anamnezi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, güneşe maruz kalma, kuşkulu cinsel ilişki, bilinen kalp kapak hastalıkları,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splenektomi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, hayvanlara dokunma,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allerji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öyküsü  sorgulanmalıdır.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Döküntülü ayrıntılı incelemesinde;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prodromal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evrenin varlığı ve özellikleri döküntünün tipi,  ateşe göre gelişme zamanı, ilk belirdiği vücut bölgeleri, dağılımı ilerleyiş tarzı sorgulanmalıdır.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Fizik Muayene;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Vital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bulgular, genel görünüm,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toksisite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belirtileri, döküntülerin dağılımı ve özellikleri,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lenfadenopati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varlığı ve </w:t>
      </w:r>
      <w:proofErr w:type="spellStart"/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lokalizasyonu,mukozal</w:t>
      </w:r>
      <w:proofErr w:type="spellEnd"/>
      <w:proofErr w:type="gram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ve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konjunktival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lezyonlar,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hepatosplenomegali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artrit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, ense sertliği özellikle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araştırılmaldır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.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Mikroorganizmların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oluşturduğu lezyonlardan deride olanlara EKZANTEM,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mukoz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membranlarda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olanlar ise ENANTEM denir.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DERİ DÖKÜNTÜLERİ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Makül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: Düz, deriden kabarıklık yapmayan, genellikle 1 cm’den küçük kırmızı lekelerdir.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Papül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: Deriden kabarık, genellikle 1 cm’den küçük pembe kırmızı döküntülerdir.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Makülopapüler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döküntü: Bazı alanlarda düz, bazı alanlarda deriden kabarık yaygın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eritematöz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döküntü. Enfeksiyon hastalıklarında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makül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ve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papüllere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sıklıkla birlikte rastlanmaktadır.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Eritem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: Deri damarlarındaki genişlemelerden ileri gelen ve basmakla kaybolan geniş alanlardaki deri kızarıklığıdır.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Vezikül: Deriden kabarık, 1 cm’den küçük,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epidermiste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gelişen ve içi saydam bir sıvı ile dolu torbacıklardır.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Bül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: Deriden kabarık, 1 cm’den büyük,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epidermiste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gelisen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ve içi saydam bir sıvı          ile dolu torbacıklardır.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Püstül: Veziküle benzer şekil ve büyüklükte, içinde saydam sıvı yerine cerahat bulunan lezyonlardır.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Nodül: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Dermis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veya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subkütan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olarak derin yerleşimli, büyüklüğü 1 cm’den fazla, yuvarlak ve hücre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infiltrasyonuna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bağlı şişliklerdir. Nodül hassas ve üzerindeki deride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eritematöz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bir görünüm varsa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eritema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nodosum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adı verilir. Büyüklükleri birkaç mm’den birkaç cm’ye kadar değişebilir. Genellikle çok sayıda ve bacakların ön yüzünde meydana gelir.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Purpura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: Basmakla kaybolmayan, deriden kabarıklık yapmayan ve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eritrositlerindamar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dışına çıkısına bağlı olarak meydana gelen döküntülerdir.  3 mm’den küçük olanlarına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peteşi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, daha büyüklerine ise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ekimoz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adı verilir.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Döküntüler değişik şekillerde olabilir. Döküntülerin hepsi aynı şekilde olursa </w:t>
      </w:r>
      <w:proofErr w:type="spell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monomorf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, </w:t>
      </w:r>
      <w:r>
        <w:rPr>
          <w:rFonts w:ascii="Arial" w:hAnsi="Arial" w:cs="Arial"/>
          <w:b/>
          <w:bCs/>
          <w:color w:val="333333"/>
          <w:sz w:val="20"/>
          <w:szCs w:val="20"/>
        </w:rPr>
        <w:t>iki çeşit döküntü varsa </w:t>
      </w:r>
      <w:proofErr w:type="spell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dimorf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, </w:t>
      </w:r>
      <w:r>
        <w:rPr>
          <w:rFonts w:ascii="Arial" w:hAnsi="Arial" w:cs="Arial"/>
          <w:b/>
          <w:bCs/>
          <w:color w:val="333333"/>
          <w:sz w:val="20"/>
          <w:szCs w:val="20"/>
        </w:rPr>
        <w:t>iki şekilden fazla sayıda döküntü bulunuyorsa buna da </w:t>
      </w:r>
      <w:proofErr w:type="spell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polimorf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</w:rPr>
        <w:t>adı verilir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. Kızamıkta ve çiçekte döküntü </w:t>
      </w:r>
      <w:proofErr w:type="spell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monomorf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 veya </w:t>
      </w:r>
      <w:proofErr w:type="spell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dimorf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 iken, </w:t>
      </w:r>
      <w:proofErr w:type="gram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su çiçeğinde</w:t>
      </w:r>
      <w:proofErr w:type="gramEnd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polimorftur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.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bookmarkStart w:id="0" w:name="_GoBack"/>
      <w:r>
        <w:rPr>
          <w:rFonts w:ascii="Arial" w:hAnsi="Arial" w:cs="Arial"/>
          <w:b/>
          <w:bCs/>
          <w:noProof/>
          <w:color w:val="333333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0</wp:posOffset>
                </wp:positionV>
                <wp:extent cx="5695950" cy="4095750"/>
                <wp:effectExtent l="0" t="0" r="0" b="0"/>
                <wp:wrapThrough wrapText="bothSides">
                  <wp:wrapPolygon edited="0">
                    <wp:start x="144" y="0"/>
                    <wp:lineTo x="144" y="21500"/>
                    <wp:lineTo x="21383" y="21500"/>
                    <wp:lineTo x="21383" y="0"/>
                    <wp:lineTo x="144" y="0"/>
                  </wp:wrapPolygon>
                </wp:wrapThrough>
                <wp:docPr id="3" name="yui_3_17_2_1_1526374593282_2064" descr="C:\Users\user\AppData\Local\Temp\msohtmlclip1\01\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95950" cy="409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38030" id="yui_3_17_2_1_1526374593282_2064" o:spid="_x0000_s1026" style="position:absolute;margin-left:-.35pt;margin-top:0;width:448.5pt;height:32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" filled="f" stroked="f">
                <o:lock v:ext="edit" aspectratio="t"/>
                <w10:wrap type="through"/>
              </v:rect>
            </w:pict>
          </mc:Fallback>
        </mc:AlternateContent>
      </w:r>
    </w:p>
    <w:bookmarkEnd w:id="0"/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Döküntülü 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enfeksiyon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hastalıklarında ateşin başlaması ile döküntünün ortaya çıkması arasındaki süreyi bilmek de tanıya yardımcı olabilir. Kızılda hastalığın 2. gününde, kızamıkta 3-4. günde,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riketsiyozda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ise 3-5. günde,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eritema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infeksiyozum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, kızamıkçık ve 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su çiçeğinde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belirgin bir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prodrom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dönemi yoktur ve ateş ile döküntü genellikle birlikte başlar.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DÖKÜNTÜYE EŞLİK EDEN DURUMLAR VE İLİŞKİLİ HASTALIKLAR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Döküntünün </w:t>
      </w:r>
      <w:proofErr w:type="spell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başlangıçı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 ve dağılımı;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Kızamık; Kulak arkasında saç çizgisi boyunca başlar,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sentrifugal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olarak yayılır. Kızamıkçık; Döküntüler yüzde başlar ve hızla gövde ve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ekstremitelere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yayılır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Döküntü ve LAP;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Kızamık;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postero-auriküler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LAP,Kızamıkçık</w:t>
      </w:r>
      <w:proofErr w:type="spellEnd"/>
      <w:proofErr w:type="gram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retroauriküler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ve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suboksipital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büyük ağrılı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lenfadenopati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eşlik eder.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ERİTEMA ENFEKSİYOZUM (BEŞİNCİ HASTALIK); Döküntü, yanaklarda yoğun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eritematöz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makül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ve plaklardan oluşan “şamar vurulmuş” gibi görünüm mevcuttur.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ROSEOLA İNFANTUM (ALTINCI HASTALIK);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Ateşin normale dönmesi ile gövdeden başlayarak kollara, boyuna, yüz ve bacaklara yayılan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maküler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veya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makülopapüler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döküntü ortaya çıkar. Döküntüler 24 saat içinde kaybolur.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Mukozal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 lezyonlar (</w:t>
      </w:r>
      <w:proofErr w:type="spell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enantemler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);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Kızamık (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Koplik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lekeleri)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Atipik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kızamık (çilek dili)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Enfeksiyoz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mononükleoz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(yumuşak damakta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peteşiler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)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Kawasaki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hastalıgı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(çilek dili)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Kızıl (çilek dili)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¢  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Su çiçeği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(ağız içi veziküller)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El ve ayak tabanlarının tutulması;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Akut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meningokoksemi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Kızamık,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El-ayak-ağız hastalığı (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Coxsackievirus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),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Riketsiyoz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Sekonder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sifiliz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Stafilokoksik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endokardit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İlaçlara bağlı döküntü,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Eritema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multiforme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Kawasaki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sendromu</w:t>
      </w:r>
      <w:proofErr w:type="gramEnd"/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El ve ayaklarda soyulma;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Toksik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şok 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sendromları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Kawasaki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sendromu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Kızıl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Akciğerde </w:t>
      </w:r>
      <w:proofErr w:type="spell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infiltrasyon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;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Atipik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kızamık,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Kriptokokkoz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Histoplazmoz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Mycoplasma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pneumoniae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enfeksiyonu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Su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çiçegi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Sarkoidoz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Psittakoz</w:t>
      </w:r>
      <w:proofErr w:type="spellEnd"/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Ateşle birlikte </w:t>
      </w:r>
      <w:proofErr w:type="spell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purpurik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 döküntü;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Riketsiyöz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Meningokoksemi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Yaygın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gonore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Bakteriyel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endokardit</w:t>
      </w:r>
      <w:proofErr w:type="spellEnd"/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Temas, </w:t>
      </w:r>
      <w:proofErr w:type="spell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rİsklİ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davranıŞlar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 ve değişik  </w:t>
      </w:r>
      <w:proofErr w:type="spell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özellİkler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 İle hastalık </w:t>
      </w:r>
      <w:proofErr w:type="spell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ilşkisi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;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Hasta ile temas sonrası 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döküntü ;</w:t>
      </w:r>
      <w:proofErr w:type="gramEnd"/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Kızamık,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Kızamıkcık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Meningokoksemi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Enterovirus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enf</w:t>
      </w:r>
      <w:proofErr w:type="spellEnd"/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.,</w:t>
      </w:r>
      <w:proofErr w:type="gramEnd"/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Su çiçeği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CMV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lastRenderedPageBreak/>
        <w:t>Mevsim;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Riketsiyöz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(ilkbahar, yaz)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Lyme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hastalığı (ilkbahar, yaz)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Enterovirus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enf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(yaz, sonbahar)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Seyahat;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Viral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hemorjik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ateşler,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Deng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Tifo,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Şistozomiyaz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Filarya</w:t>
      </w:r>
      <w:proofErr w:type="spellEnd"/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Kene ısırığı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Riketsiyöz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Lyme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hastalığı,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Erlikiya</w:t>
      </w:r>
      <w:proofErr w:type="spellEnd"/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KKKA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Tampon 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kullanımı ;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S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</w:rPr>
        <w:t>.aureus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bağlı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toksik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şok sendromu)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Kuşkulu cinsel temas;  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HIV 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enfeksiyonu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Sifiliz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,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Gonore</w:t>
      </w:r>
      <w:proofErr w:type="spellEnd"/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 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 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 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 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 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 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Ateş ve döküntü </w:t>
      </w:r>
      <w:proofErr w:type="spell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bİrlİktelİĞİ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 ve yasamı </w:t>
      </w:r>
      <w:proofErr w:type="spell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tehdİt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 eden hastalıklar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 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¢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Enfeksiyöz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nedenler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Meningokoksemi</w:t>
      </w:r>
      <w:proofErr w:type="spellEnd"/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Gram negatif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sepsis</w:t>
      </w:r>
      <w:proofErr w:type="spellEnd"/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Stafilokokkal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soyulmuş deri 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sendromu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(SSSS)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TŞS</w:t>
      </w:r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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Endokardit</w:t>
      </w:r>
      <w:proofErr w:type="spellEnd"/>
    </w:p>
    <w:p w:rsidR="00C845E4" w:rsidRDefault="00C845E4" w:rsidP="00C845E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Toksik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epidermal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nekroliz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(TEN)</w:t>
      </w:r>
    </w:p>
    <w:p w:rsidR="00374C6C" w:rsidRPr="00C845E4" w:rsidRDefault="00374C6C" w:rsidP="00C845E4"/>
    <w:sectPr w:rsidR="00374C6C" w:rsidRPr="00C8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7146C"/>
    <w:multiLevelType w:val="multilevel"/>
    <w:tmpl w:val="58F0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FC0AD8"/>
    <w:multiLevelType w:val="multilevel"/>
    <w:tmpl w:val="761C7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AE"/>
    <w:rsid w:val="000361F9"/>
    <w:rsid w:val="00374C6C"/>
    <w:rsid w:val="003F1C9E"/>
    <w:rsid w:val="00503A19"/>
    <w:rsid w:val="00A326AE"/>
    <w:rsid w:val="00C845E4"/>
    <w:rsid w:val="00E7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6D4C"/>
  <w15:chartTrackingRefBased/>
  <w15:docId w15:val="{22575B08-E8A5-468F-AA76-B4D5CDEC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6</cp:revision>
  <dcterms:created xsi:type="dcterms:W3CDTF">2018-05-15T08:35:00Z</dcterms:created>
  <dcterms:modified xsi:type="dcterms:W3CDTF">2018-05-15T08:58:00Z</dcterms:modified>
</cp:coreProperties>
</file>