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96" w:rsidRDefault="005572C9">
      <w:pPr>
        <w:rPr>
          <w:b/>
        </w:rPr>
      </w:pPr>
      <w:r w:rsidRPr="007209D3">
        <w:rPr>
          <w:b/>
        </w:rPr>
        <w:t xml:space="preserve">Konu </w:t>
      </w:r>
      <w:proofErr w:type="gramStart"/>
      <w:r w:rsidRPr="007209D3">
        <w:rPr>
          <w:b/>
        </w:rPr>
        <w:t>1</w:t>
      </w:r>
      <w:r>
        <w:t xml:space="preserve"> </w:t>
      </w:r>
      <w:bookmarkStart w:id="0" w:name="_GoBack"/>
      <w:bookmarkEnd w:id="0"/>
      <w:r w:rsidR="007209D3">
        <w:t xml:space="preserve">: </w:t>
      </w:r>
      <w:r w:rsidR="007209D3">
        <w:rPr>
          <w:b/>
        </w:rPr>
        <w:t>Tek</w:t>
      </w:r>
      <w:proofErr w:type="gramEnd"/>
      <w:r w:rsidR="007209D3">
        <w:rPr>
          <w:b/>
        </w:rPr>
        <w:t>-taraflı uluslararası hukuk işlemleri</w:t>
      </w:r>
    </w:p>
    <w:p w:rsidR="007209D3" w:rsidRDefault="007209D3">
      <w:r w:rsidRPr="007209D3">
        <w:t xml:space="preserve">Bu </w:t>
      </w:r>
      <w:r>
        <w:t>işlemler, geleneksel yöntemler ve uluslararası örgüt işlemleri olmak üzere ikiye ayrılmaktadır.</w:t>
      </w:r>
    </w:p>
    <w:p w:rsidR="007209D3" w:rsidRDefault="007209D3">
      <w:r>
        <w:t>Geleneksel işlemler; tanıma, bildirim, vazgeçme ve kınama olarak sıralanabilir. Bunların içinde en fazla duyulanlar, kınama (protesto) ve tanımadır.</w:t>
      </w:r>
    </w:p>
    <w:p w:rsidR="007209D3" w:rsidRDefault="007209D3" w:rsidP="007209D3">
      <w:r>
        <w:t>Tek-taraflı hukuksal işlemler, işlemi yapan uluslararası hukuk kişisi için yükümlülükler doğurur. Başka bir kişi için doğurmaması gerekir. İşlemin geçerliliği başka bir uluslararası hukuk kişisinin de bir işlem yapmasını gerektiriyorsa, buna bağımlı tek-taraflı hukuksal işlem denmektedir. Ancak işlemin tek-taraflı özelliğini koruduğu ağırlık kazanan görüştür. Bir antlaşmaya katılma, çekince koyma ya da fesih bu niteliktedir. Yine antlaşmalarda öngörülen bildirim koşulları da bu niteliğe sahiptir. Diğer tür tek-taraflı hukuksal işlemler ise "özerk" diye adlandırılır.</w:t>
      </w:r>
      <w:r w:rsidRPr="007209D3">
        <w:t xml:space="preserve"> </w:t>
      </w:r>
    </w:p>
    <w:p w:rsidR="007209D3" w:rsidRDefault="007209D3" w:rsidP="007209D3">
      <w:r>
        <w:t>Bu işlemleri kısaca tanımlamak gerekirse:</w:t>
      </w:r>
    </w:p>
    <w:p w:rsidR="007209D3" w:rsidRDefault="007209D3" w:rsidP="007209D3">
      <w:r w:rsidRPr="007209D3">
        <w:rPr>
          <w:b/>
        </w:rPr>
        <w:t>Tanıma</w:t>
      </w:r>
      <w:r>
        <w:t xml:space="preserve">: Bir uluslararası hukuk kişisinin kendisi dışında ortaya çıkmış olan bir durumu, olayı, belgeyi ya da iddiayı kendisi açısından hukuka uygun kabul ettiğini ve bundan sonraki ilişkilerini bunun üzerine kuracağını bildirdiği bir tek-taraflı hukuksal işlemdir. Bugün uluslararası ilişkilerde en çok tartışılan tanıma biçimi, devletlerin tanınmasıdır. Bu da, devlet olmanın koşulu olarak sayılan 3 koşul dışında tanınmanın da bir ön koşul olup olmadığı çevresinde tartışılmaktadır. Ağırlıklı olan görüş, tanımanın devlet olmanın bir ön koşulu olmadığı, açıklayıcı işlem olduğudur. Bu yorum, tanımanın tek-taraflı işlem özelliğiyle de uyumludur. Aynı zamanda tanımanın çoğu zaman siyasi bir değerlendirme içermesi nedeniyle de ön koşul olması uygun görünmemektedir. Çünkü diğer 3 özelliği sağlasa dahi bir devlet diğer bir devleti siyasi nedenlerle tanımamaya karar verebilir. </w:t>
      </w:r>
      <w:proofErr w:type="gramStart"/>
      <w:r>
        <w:t xml:space="preserve">Örneğin Kosova'nın Rusya tarafından tanınmaması. </w:t>
      </w:r>
      <w:proofErr w:type="gramEnd"/>
      <w:r>
        <w:t>Bunun tersi de doğrudur.</w:t>
      </w:r>
    </w:p>
    <w:p w:rsidR="007209D3" w:rsidRDefault="007209D3" w:rsidP="007209D3">
      <w:r>
        <w:t xml:space="preserve">Tanıma üstü kapalı ya da açık olabilir. </w:t>
      </w:r>
      <w:r>
        <w:rPr>
          <w:i/>
        </w:rPr>
        <w:t xml:space="preserve">De </w:t>
      </w:r>
      <w:proofErr w:type="spellStart"/>
      <w:r>
        <w:rPr>
          <w:i/>
        </w:rPr>
        <w:t>facto</w:t>
      </w:r>
      <w:proofErr w:type="spellEnd"/>
      <w:r>
        <w:t xml:space="preserve"> ya da </w:t>
      </w:r>
      <w:r>
        <w:rPr>
          <w:i/>
        </w:rPr>
        <w:t xml:space="preserve">de </w:t>
      </w:r>
      <w:proofErr w:type="spellStart"/>
      <w:r>
        <w:rPr>
          <w:i/>
        </w:rPr>
        <w:t>jure</w:t>
      </w:r>
      <w:proofErr w:type="spellEnd"/>
      <w:r>
        <w:t xml:space="preserve"> olabilir.</w:t>
      </w:r>
      <w:r w:rsidR="000D55F9">
        <w:t xml:space="preserve"> </w:t>
      </w:r>
      <w:r w:rsidR="000D55F9">
        <w:rPr>
          <w:i/>
        </w:rPr>
        <w:t xml:space="preserve">De </w:t>
      </w:r>
      <w:proofErr w:type="spellStart"/>
      <w:r w:rsidR="000D55F9">
        <w:rPr>
          <w:i/>
        </w:rPr>
        <w:t>jure</w:t>
      </w:r>
      <w:proofErr w:type="spellEnd"/>
      <w:r w:rsidR="000D55F9">
        <w:t xml:space="preserve"> tanıma geri alınamaz. Geleneksel olarak, tanıma için kimi koşullar ileri sürülemez.  Ancak bu koşul, Yugoslavya'nın dağılması sırasında AB tarafından kurulan ve tanınmak isteyen eski Yugoslavya devletlerinin başvurması istenen </w:t>
      </w:r>
      <w:proofErr w:type="spellStart"/>
      <w:r w:rsidR="000D55F9">
        <w:t>Badinter</w:t>
      </w:r>
      <w:proofErr w:type="spellEnd"/>
      <w:r w:rsidR="000D55F9">
        <w:t xml:space="preserve"> Komisyonu uygulamasıyla bir değişiklik geçirmiştir. Tanınmak için başvuru istenmesi ve koşul getirilmesi daha önce görülmüş uygulamalar değildir. Ancak eski Yugoslavya devletleri buna uymuşlar ve bu süreç sonunda AB devletleri tarafından tanınmışlardır. Buna karşılık Hırvatistan ve Slovenya'nın bu süreç beklenmeden Almanya tarafından tanınması, tanıma sürecinin siyasi yönünü ortaya koymakta ve </w:t>
      </w:r>
      <w:proofErr w:type="spellStart"/>
      <w:r w:rsidR="000D55F9">
        <w:t>Badinter</w:t>
      </w:r>
      <w:proofErr w:type="spellEnd"/>
      <w:r w:rsidR="000D55F9">
        <w:t xml:space="preserve"> Komisyonu ile verilmek istenen hukuksal süreç görüntüsünü bozmaktadır. </w:t>
      </w:r>
      <w:proofErr w:type="spellStart"/>
      <w:r w:rsidR="000D55F9">
        <w:t>Badinter</w:t>
      </w:r>
      <w:proofErr w:type="spellEnd"/>
      <w:r w:rsidR="000D55F9">
        <w:t xml:space="preserve"> Komisyonu'ndan sonra bir daha benzer bir uygulama görülmemiştir. </w:t>
      </w:r>
    </w:p>
    <w:p w:rsidR="000D55F9" w:rsidRDefault="000D55F9" w:rsidP="007209D3">
      <w:r>
        <w:t>Hükümetlerin tanınması, asi ya da savaşan statüsünün tanınması ise günümüzde uygulaması pek görülmeyen durumlar halini almıştır.</w:t>
      </w:r>
    </w:p>
    <w:p w:rsidR="000D55F9" w:rsidRDefault="000D55F9" w:rsidP="007209D3">
      <w:r w:rsidRPr="000D55F9">
        <w:rPr>
          <w:b/>
        </w:rPr>
        <w:t>Bildirim</w:t>
      </w:r>
      <w:r>
        <w:rPr>
          <w:b/>
        </w:rPr>
        <w:t xml:space="preserve"> (Tebliğ): </w:t>
      </w:r>
      <w:r>
        <w:t>Hukuksal sonuçları olacak bir olay, durum, eylem ya da belgenin üçüncü kişilerin bilgisine resmen sunulmasıdır. Antlaşmalar hukuku çerçevesinde bildirim koşulları getirilebileceği gibi, isteğe bağlı olarak da yapılabilir. Zorunlu olduğu durumlarda yapılmaması sorumluluk doğurabilir. İsteğe bağlı olduğu durumlarda ise daha çok işlemi yapanın görüşlerinin kayda geçirilmesi ve haklarının saklı tutulması amacıyla yapılmaktadır.</w:t>
      </w:r>
    </w:p>
    <w:p w:rsidR="00FE0232" w:rsidRDefault="00FE0232" w:rsidP="007209D3">
      <w:r>
        <w:rPr>
          <w:b/>
        </w:rPr>
        <w:t>Vazgeçme</w:t>
      </w:r>
      <w:r>
        <w:t>: Uluslararası hukuk kişisinin sahip olduğu kimi haklardan vazgeçmesidir. Vazgeçme işlemi varsayılamaz, kuşkuya yer vermeyecek biçimde açık olması gerekir.</w:t>
      </w:r>
      <w:r w:rsidR="00F85466">
        <w:t xml:space="preserve"> Haktan tamamen vazgeçilebileceği gibi, başka bir kişiye devredilmesi de mümkündür, ancak bu kişinin rızası gerekir. </w:t>
      </w:r>
    </w:p>
    <w:p w:rsidR="00F85466" w:rsidRDefault="00F85466" w:rsidP="007209D3">
      <w:r>
        <w:rPr>
          <w:b/>
        </w:rPr>
        <w:t>Kınama (protesto</w:t>
      </w:r>
      <w:r>
        <w:t xml:space="preserve">): Bildirimle birlikte en çok kullanılan tek-taraflı işlem biçimidir. Belirli bir durumun, davranışın ya da iddianın kendisi açısından hukuka uygun bulunmadığını belirten ve haklarını saklı </w:t>
      </w:r>
      <w:r>
        <w:lastRenderedPageBreak/>
        <w:t xml:space="preserve">tutmayı amaçlayan bir tek-taraflı hukuksal işlemdir.  Biçimi önemli değildir, yazılı nota, yazılı ama imzasız olan sözlü nota ya da sözlü bildiri olabilir. Hakları tehdit altında olan kişi bu yola başvurmak zorunda değildir, sesini çıkarmaması bu haklarından vazgeçtiği anlamına gelmez. Ama susmak eğer üstü kapalı kabul olarak değerlendirilebilecekse, kınamada bulunmak zorunludur. </w:t>
      </w:r>
    </w:p>
    <w:p w:rsidR="00F85466" w:rsidRPr="00F85466" w:rsidRDefault="00F85466" w:rsidP="007209D3">
      <w:r>
        <w:rPr>
          <w:b/>
        </w:rPr>
        <w:t xml:space="preserve">Uluslararası örgüt kararları: </w:t>
      </w:r>
      <w:r>
        <w:t xml:space="preserve">Bu kararlar "ortaklaşa işlem" olup örgüt açısından tek-taraflı işlem özelliği taşır. Bağlayıcı kararların örgüt organları açısından ya da üye devletler açısından bağlayıcı olması mümkündür. Her örgütün kurucu antlaşmasında hangi konularda ve nasıl bağlayıcı karar alabileceği belirtilir. Tavsiye niteliğindeki kararları ise hukuksal bağlayıcı güce sahip değildir. Ancak BM Genel Kurulu bu açıdan farklı bir özellik kazanmıştır. Üye devletlere yönelik kararları tavsiye niteliğinde olmasına karşın, bu oylamalarda kullanılan oyların yönü ve yapılan açıklamalar, </w:t>
      </w:r>
      <w:proofErr w:type="spellStart"/>
      <w:r>
        <w:t>yapılageliş</w:t>
      </w:r>
      <w:proofErr w:type="spellEnd"/>
      <w:r>
        <w:t xml:space="preserve"> (teamül, örf ve adet) kuralının maddi unsurunu ispatlamak için kullanılmaktadır.</w:t>
      </w:r>
    </w:p>
    <w:p w:rsidR="007209D3" w:rsidRDefault="007209D3" w:rsidP="007209D3"/>
    <w:sectPr w:rsidR="007209D3" w:rsidSect="009352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422BE"/>
    <w:multiLevelType w:val="hybridMultilevel"/>
    <w:tmpl w:val="1D2EC5D6"/>
    <w:lvl w:ilvl="0" w:tplc="9D3A460E">
      <w:start w:val="1"/>
      <w:numFmt w:val="bullet"/>
      <w:pStyle w:val="OkumaParas"/>
      <w:lvlText w:val="o"/>
      <w:lvlJc w:val="left"/>
      <w:pPr>
        <w:tabs>
          <w:tab w:val="num" w:pos="432"/>
        </w:tabs>
        <w:ind w:left="432" w:hanging="360"/>
      </w:pPr>
      <w:rPr>
        <w:rFonts w:ascii="Courier New" w:hAnsi="Courier New" w:hint="default"/>
      </w:rPr>
    </w:lvl>
    <w:lvl w:ilvl="1" w:tplc="041F0001">
      <w:start w:val="1"/>
      <w:numFmt w:val="bullet"/>
      <w:lvlText w:val=""/>
      <w:lvlJc w:val="left"/>
      <w:pPr>
        <w:tabs>
          <w:tab w:val="num" w:pos="432"/>
        </w:tabs>
        <w:ind w:left="432" w:hanging="360"/>
      </w:pPr>
      <w:rPr>
        <w:rFonts w:ascii="Symbol" w:hAnsi="Symbol" w:hint="default"/>
      </w:rPr>
    </w:lvl>
    <w:lvl w:ilvl="2" w:tplc="041F0005" w:tentative="1">
      <w:start w:val="1"/>
      <w:numFmt w:val="bullet"/>
      <w:lvlText w:val=""/>
      <w:lvlJc w:val="left"/>
      <w:pPr>
        <w:tabs>
          <w:tab w:val="num" w:pos="1152"/>
        </w:tabs>
        <w:ind w:left="1152" w:hanging="360"/>
      </w:pPr>
      <w:rPr>
        <w:rFonts w:ascii="Wingdings" w:hAnsi="Wingdings" w:hint="default"/>
      </w:rPr>
    </w:lvl>
    <w:lvl w:ilvl="3" w:tplc="041F0001" w:tentative="1">
      <w:start w:val="1"/>
      <w:numFmt w:val="bullet"/>
      <w:lvlText w:val=""/>
      <w:lvlJc w:val="left"/>
      <w:pPr>
        <w:tabs>
          <w:tab w:val="num" w:pos="1872"/>
        </w:tabs>
        <w:ind w:left="1872" w:hanging="360"/>
      </w:pPr>
      <w:rPr>
        <w:rFonts w:ascii="Symbol" w:hAnsi="Symbol" w:hint="default"/>
      </w:rPr>
    </w:lvl>
    <w:lvl w:ilvl="4" w:tplc="041F0003" w:tentative="1">
      <w:start w:val="1"/>
      <w:numFmt w:val="bullet"/>
      <w:lvlText w:val="o"/>
      <w:lvlJc w:val="left"/>
      <w:pPr>
        <w:tabs>
          <w:tab w:val="num" w:pos="2592"/>
        </w:tabs>
        <w:ind w:left="2592" w:hanging="360"/>
      </w:pPr>
      <w:rPr>
        <w:rFonts w:ascii="Courier New" w:hAnsi="Courier New" w:cs="Courier New" w:hint="default"/>
      </w:rPr>
    </w:lvl>
    <w:lvl w:ilvl="5" w:tplc="041F0005" w:tentative="1">
      <w:start w:val="1"/>
      <w:numFmt w:val="bullet"/>
      <w:lvlText w:val=""/>
      <w:lvlJc w:val="left"/>
      <w:pPr>
        <w:tabs>
          <w:tab w:val="num" w:pos="3312"/>
        </w:tabs>
        <w:ind w:left="3312" w:hanging="360"/>
      </w:pPr>
      <w:rPr>
        <w:rFonts w:ascii="Wingdings" w:hAnsi="Wingdings" w:hint="default"/>
      </w:rPr>
    </w:lvl>
    <w:lvl w:ilvl="6" w:tplc="041F0001" w:tentative="1">
      <w:start w:val="1"/>
      <w:numFmt w:val="bullet"/>
      <w:lvlText w:val=""/>
      <w:lvlJc w:val="left"/>
      <w:pPr>
        <w:tabs>
          <w:tab w:val="num" w:pos="4032"/>
        </w:tabs>
        <w:ind w:left="4032" w:hanging="360"/>
      </w:pPr>
      <w:rPr>
        <w:rFonts w:ascii="Symbol" w:hAnsi="Symbol" w:hint="default"/>
      </w:rPr>
    </w:lvl>
    <w:lvl w:ilvl="7" w:tplc="041F0003" w:tentative="1">
      <w:start w:val="1"/>
      <w:numFmt w:val="bullet"/>
      <w:lvlText w:val="o"/>
      <w:lvlJc w:val="left"/>
      <w:pPr>
        <w:tabs>
          <w:tab w:val="num" w:pos="4752"/>
        </w:tabs>
        <w:ind w:left="4752" w:hanging="360"/>
      </w:pPr>
      <w:rPr>
        <w:rFonts w:ascii="Courier New" w:hAnsi="Courier New" w:cs="Courier New" w:hint="default"/>
      </w:rPr>
    </w:lvl>
    <w:lvl w:ilvl="8" w:tplc="041F0005" w:tentative="1">
      <w:start w:val="1"/>
      <w:numFmt w:val="bullet"/>
      <w:lvlText w:val=""/>
      <w:lvlJc w:val="left"/>
      <w:pPr>
        <w:tabs>
          <w:tab w:val="num" w:pos="5472"/>
        </w:tabs>
        <w:ind w:left="5472"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7570"/>
    <w:rsid w:val="000D55F9"/>
    <w:rsid w:val="001A5196"/>
    <w:rsid w:val="005572C9"/>
    <w:rsid w:val="007209D3"/>
    <w:rsid w:val="009352CF"/>
    <w:rsid w:val="00EA7570"/>
    <w:rsid w:val="00F85466"/>
    <w:rsid w:val="00FE0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2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Konu-basligi">
    <w:name w:val="Konu-basligi"/>
    <w:basedOn w:val="Normal"/>
    <w:rsid w:val="007209D3"/>
    <w:pPr>
      <w:keepNext/>
      <w:spacing w:before="60" w:after="60" w:line="240" w:lineRule="auto"/>
      <w:ind w:left="72"/>
    </w:pPr>
    <w:rPr>
      <w:rFonts w:ascii="Verdana" w:eastAsia="Times New Roman" w:hAnsi="Verdana" w:cs="Times New Roman"/>
      <w:b/>
      <w:sz w:val="18"/>
      <w:szCs w:val="16"/>
      <w:lang w:eastAsia="tr-TR"/>
    </w:rPr>
  </w:style>
  <w:style w:type="paragraph" w:customStyle="1" w:styleId="OkumaParas">
    <w:name w:val="Okuma Parçası"/>
    <w:basedOn w:val="Normal"/>
    <w:rsid w:val="007209D3"/>
    <w:pPr>
      <w:numPr>
        <w:numId w:val="1"/>
      </w:numPr>
      <w:spacing w:before="40" w:after="40" w:line="240" w:lineRule="auto"/>
    </w:pPr>
    <w:rPr>
      <w:rFonts w:ascii="Verdana" w:eastAsia="Times New Roman" w:hAnsi="Verdana" w:cs="Times New Roman"/>
      <w:sz w:val="16"/>
      <w:szCs w:val="16"/>
      <w:lang w:val="en-US"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726</Words>
  <Characters>4142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erdal.aydin</dc:creator>
  <cp:keywords/>
  <dc:description/>
  <cp:lastModifiedBy>funda</cp:lastModifiedBy>
  <cp:revision>4</cp:revision>
  <dcterms:created xsi:type="dcterms:W3CDTF">2015-07-03T07:25:00Z</dcterms:created>
  <dcterms:modified xsi:type="dcterms:W3CDTF">2017-02-26T10:12:00Z</dcterms:modified>
</cp:coreProperties>
</file>