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EF" w:rsidRDefault="006519EF" w:rsidP="006519EF">
      <w:pPr>
        <w:spacing w:before="240" w:after="240" w:line="360" w:lineRule="auto"/>
        <w:ind w:right="792"/>
        <w:jc w:val="both"/>
        <w:rPr>
          <w:b/>
          <w:bCs/>
        </w:rPr>
      </w:pPr>
      <w:r>
        <w:rPr>
          <w:b/>
          <w:bCs/>
        </w:rPr>
        <w:t>Bend Esasına Dayalı Nazım Şekilleri:</w:t>
      </w:r>
    </w:p>
    <w:p w:rsidR="006519EF" w:rsidRDefault="006519EF" w:rsidP="006519EF">
      <w:pPr>
        <w:pStyle w:val="GvdeMetniGirintisi2"/>
        <w:spacing w:before="240" w:after="240" w:line="360" w:lineRule="auto"/>
        <w:ind w:firstLine="0"/>
        <w:rPr>
          <w:b/>
        </w:rPr>
      </w:pPr>
      <w:r>
        <w:rPr>
          <w:b/>
        </w:rPr>
        <w:t>1. Tek Bendli Nazım Şekilleri</w:t>
      </w:r>
    </w:p>
    <w:p w:rsidR="006519EF" w:rsidRDefault="006519EF" w:rsidP="006519EF">
      <w:pPr>
        <w:pStyle w:val="GvdeMetniGirintisi2"/>
        <w:spacing w:before="240" w:after="240" w:line="360" w:lineRule="auto"/>
        <w:ind w:firstLine="0"/>
        <w:rPr>
          <w:b/>
        </w:rPr>
      </w:pPr>
      <w:r>
        <w:rPr>
          <w:b/>
        </w:rPr>
        <w:t xml:space="preserve">1.1. </w:t>
      </w:r>
      <w:r>
        <w:rPr>
          <w:b/>
        </w:rPr>
        <w:t>Rubâî:</w:t>
      </w:r>
    </w:p>
    <w:p w:rsidR="006519EF" w:rsidRDefault="006519EF" w:rsidP="006519EF">
      <w:pPr>
        <w:pStyle w:val="GvdeMetniGirintisi2"/>
        <w:spacing w:before="240" w:after="240" w:line="360" w:lineRule="auto"/>
        <w:rPr>
          <w:bCs w:val="0"/>
        </w:rPr>
      </w:pPr>
      <w:r>
        <w:t xml:space="preserve">Dört mısradan oluşan nazım şekline rubâî denir. Kafiye düzeni genellikle aaxa şeklindedir. Ancak xaxa ve aaaa şeklinde kafiyeli rubâîlerde vardır. Rubâî’yi dört mısralık nazm ve tuyuğ’dan ayıran en önemli özellik veznidir. Rubâî’ler aruzun hezec bahrinin yalnız bu nazım şeklinde kullanılan </w:t>
      </w:r>
      <w:r>
        <w:rPr>
          <w:i/>
          <w:iCs/>
        </w:rPr>
        <w:t>Ahreb</w:t>
      </w:r>
      <w:r>
        <w:t xml:space="preserve"> ve </w:t>
      </w:r>
      <w:r>
        <w:rPr>
          <w:i/>
          <w:iCs/>
        </w:rPr>
        <w:t>Ahrem</w:t>
      </w:r>
      <w:r>
        <w:t xml:space="preserve"> olarak iki temel şekli olan yirmi dört kalıbıyla yazılırlar.  </w:t>
      </w:r>
    </w:p>
    <w:p w:rsidR="006519EF" w:rsidRDefault="006519EF" w:rsidP="006519EF">
      <w:pPr>
        <w:pStyle w:val="GvdeMetniGirintisi2"/>
        <w:spacing w:before="240" w:after="240" w:line="360" w:lineRule="auto"/>
        <w:rPr>
          <w:b/>
        </w:rPr>
      </w:pPr>
      <w:r>
        <w:t xml:space="preserve">Edebiyatımızda, rubâî nazım şeklinde yazdığı 900-1000 kadar şiirle Azmi-zâde Hâletî (ö. 1630-31) bu nazım şeklinin en usta şairidir. </w:t>
      </w:r>
    </w:p>
    <w:p w:rsidR="006519EF" w:rsidRDefault="006519EF" w:rsidP="006519EF">
      <w:pPr>
        <w:spacing w:before="240" w:after="240" w:line="360" w:lineRule="auto"/>
        <w:ind w:right="792"/>
        <w:jc w:val="both"/>
        <w:rPr>
          <w:b/>
          <w:bCs/>
        </w:rPr>
      </w:pPr>
      <w:r>
        <w:rPr>
          <w:b/>
          <w:bCs/>
        </w:rPr>
        <w:t xml:space="preserve">1.2. </w:t>
      </w:r>
      <w:bookmarkStart w:id="0" w:name="_GoBack"/>
      <w:bookmarkEnd w:id="0"/>
      <w:r>
        <w:rPr>
          <w:b/>
          <w:bCs/>
        </w:rPr>
        <w:t>Tuyug:</w:t>
      </w:r>
    </w:p>
    <w:p w:rsidR="006519EF" w:rsidRDefault="006519EF" w:rsidP="006519EF">
      <w:pPr>
        <w:spacing w:before="240" w:after="240" w:line="360" w:lineRule="auto"/>
        <w:ind w:right="792" w:firstLine="708"/>
        <w:jc w:val="both"/>
      </w:pPr>
      <w:r>
        <w:t xml:space="preserve">Yalnızca Türk edebiyatında görülen Dîvân şiiri nazım şeklidir. Aruzun sadece Fâilâtün/Fâilâtün/Fâilün kalıbıyla yazılan tuyuğlar, dört mısradan oluşur ve Halk edebiyatındaki mânilerin Dîvân şiirindeki karşılığı kabul edilir. Bu nazım şekli daha çok Azerî ve Çağatay edebiyatlarında kullanılmıştır. XIV. yüzyıl şairlerimizden Kadı Burhâneddîn (ö. 1399) ve Seyyid Nesîmî (ö. 1404) bu nazım şeklinin ustalarındandır.  </w:t>
      </w:r>
    </w:p>
    <w:p w:rsidR="00340157" w:rsidRDefault="00340157" w:rsidP="006519EF">
      <w:pPr>
        <w:spacing w:before="240" w:after="240" w:line="360" w:lineRule="auto"/>
      </w:pPr>
    </w:p>
    <w:p w:rsidR="006519EF" w:rsidRDefault="006519EF">
      <w:pPr>
        <w:spacing w:before="240" w:after="240" w:line="360" w:lineRule="auto"/>
      </w:pPr>
    </w:p>
    <w:sectPr w:rsidR="00651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E4"/>
    <w:rsid w:val="00340157"/>
    <w:rsid w:val="006519EF"/>
    <w:rsid w:val="00FA79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2B03F-1980-465C-B5A1-1C82C0DC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9E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6519EF"/>
    <w:pPr>
      <w:ind w:right="792" w:firstLine="708"/>
      <w:jc w:val="both"/>
    </w:pPr>
    <w:rPr>
      <w:bCs/>
    </w:rPr>
  </w:style>
  <w:style w:type="character" w:customStyle="1" w:styleId="GvdeMetniGirintisi2Char">
    <w:name w:val="Gövde Metni Girintisi 2 Char"/>
    <w:basedOn w:val="VarsaylanParagrafYazTipi"/>
    <w:link w:val="GvdeMetniGirintisi2"/>
    <w:rsid w:val="006519EF"/>
    <w:rPr>
      <w:rFonts w:ascii="Times New Roman" w:eastAsia="Times New Roman" w:hAnsi="Times New Roman" w:cs="Times New Roman"/>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2018-07-09T11:58:00Z</dcterms:created>
  <dcterms:modified xsi:type="dcterms:W3CDTF">2018-07-09T11:58:00Z</dcterms:modified>
</cp:coreProperties>
</file>