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99" w:rsidRDefault="00984899" w:rsidP="0098489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5899">
        <w:rPr>
          <w:rFonts w:ascii="Times New Roman" w:hAnsi="Times New Roman" w:cs="Times New Roman"/>
          <w:b/>
          <w:sz w:val="24"/>
          <w:szCs w:val="24"/>
          <w:lang w:val="en-US"/>
        </w:rPr>
        <w:t>Classification of fatty acids</w:t>
      </w:r>
    </w:p>
    <w:p w:rsidR="00984899" w:rsidRPr="00FB5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B5899">
        <w:rPr>
          <w:rFonts w:ascii="Times New Roman" w:hAnsi="Times New Roman" w:cs="Times New Roman"/>
          <w:sz w:val="24"/>
          <w:szCs w:val="24"/>
          <w:lang w:val="en-US"/>
        </w:rPr>
        <w:t>epending only on chain length they c</w:t>
      </w:r>
      <w:r>
        <w:rPr>
          <w:rFonts w:ascii="Times New Roman" w:hAnsi="Times New Roman" w:cs="Times New Roman"/>
          <w:sz w:val="24"/>
          <w:szCs w:val="24"/>
          <w:lang w:val="en-US"/>
        </w:rPr>
        <w:t>an be functionally divided into:</w:t>
      </w:r>
    </w:p>
    <w:p w:rsidR="00984899" w:rsidRPr="00E768ED" w:rsidRDefault="00984899" w:rsidP="009848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sz w:val="24"/>
          <w:szCs w:val="24"/>
          <w:lang w:val="en-US"/>
        </w:rPr>
        <w:t>Short chain fatty acids: Up to 6 carbon atoms</w:t>
      </w:r>
    </w:p>
    <w:p w:rsidR="00984899" w:rsidRPr="00E768ED" w:rsidRDefault="00984899" w:rsidP="009848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sz w:val="24"/>
          <w:szCs w:val="24"/>
          <w:lang w:val="en-US"/>
        </w:rPr>
        <w:t>Medium chain fatty acids: From 8 to 12 carbon atoms;</w:t>
      </w:r>
    </w:p>
    <w:p w:rsidR="00984899" w:rsidRPr="00E768ED" w:rsidRDefault="00984899" w:rsidP="009848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sz w:val="24"/>
          <w:szCs w:val="24"/>
          <w:lang w:val="en-US"/>
        </w:rPr>
        <w:t>Long chain fatty acids: From 14 to 20 carbon atoms;</w:t>
      </w:r>
    </w:p>
    <w:p w:rsidR="00984899" w:rsidRDefault="00984899" w:rsidP="009848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sz w:val="24"/>
          <w:szCs w:val="24"/>
          <w:lang w:val="en-US"/>
        </w:rPr>
        <w:t>Very long chain fatty acids: From 20 carbon atoms onwards</w:t>
      </w:r>
    </w:p>
    <w:p w:rsidR="00984899" w:rsidRPr="00E768ED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sz w:val="24"/>
          <w:szCs w:val="24"/>
          <w:lang w:val="en-US"/>
        </w:rPr>
        <w:t>Moreover, on the basis of the a</w:t>
      </w:r>
      <w:r>
        <w:rPr>
          <w:rFonts w:ascii="Times New Roman" w:hAnsi="Times New Roman" w:cs="Times New Roman"/>
          <w:sz w:val="24"/>
          <w:szCs w:val="24"/>
          <w:lang w:val="en-US"/>
        </w:rPr>
        <w:t>bsence/presence of double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 xml:space="preserve"> bonds they can be grouped into two broad classes:</w:t>
      </w:r>
    </w:p>
    <w:p w:rsidR="00984899" w:rsidRPr="00E768ED" w:rsidRDefault="00984899" w:rsidP="009848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>aturated fatty acids, if there are no double bonds in the carbon chain;</w:t>
      </w:r>
    </w:p>
    <w:p w:rsidR="00984899" w:rsidRDefault="00984899" w:rsidP="009848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>nsaturated fatty acids, if there are one or more double bonds in the carbon chain.</w:t>
      </w:r>
    </w:p>
    <w:p w:rsidR="00984899" w:rsidRPr="000775F4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68ED">
        <w:rPr>
          <w:rFonts w:ascii="Times New Roman" w:hAnsi="Times New Roman" w:cs="Times New Roman"/>
          <w:i/>
          <w:sz w:val="24"/>
          <w:szCs w:val="24"/>
          <w:lang w:val="en-US"/>
        </w:rPr>
        <w:t>Saturated fatty acids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 xml:space="preserve"> are ‘fil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led’ (saturated) with hydrogen. 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 xml:space="preserve">Most saturated fatty acids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straight hydrocarbon chains 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>with an even number o</w:t>
      </w:r>
      <w:r>
        <w:rPr>
          <w:rFonts w:ascii="Times New Roman" w:hAnsi="Times New Roman" w:cs="Times New Roman"/>
          <w:sz w:val="24"/>
          <w:szCs w:val="24"/>
          <w:lang w:val="en-US"/>
        </w:rPr>
        <w:t>f carbon atoms. The most common fatty acids contain 12 to18</w:t>
      </w:r>
      <w:r w:rsidRPr="00E768ED">
        <w:rPr>
          <w:rFonts w:ascii="Times New Roman" w:hAnsi="Times New Roman" w:cs="Times New Roman"/>
          <w:sz w:val="24"/>
          <w:szCs w:val="24"/>
          <w:lang w:val="en-US"/>
        </w:rPr>
        <w:t xml:space="preserve"> carbon atoms.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12C0">
        <w:rPr>
          <w:rFonts w:ascii="Times New Roman" w:hAnsi="Times New Roman" w:cs="Times New Roman"/>
          <w:sz w:val="24"/>
          <w:szCs w:val="24"/>
          <w:lang w:val="en-US"/>
        </w:rPr>
        <w:t>They are stable to oxidation as a result of the saturation of their carbon chain.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12C0">
        <w:rPr>
          <w:rFonts w:ascii="Times New Roman" w:hAnsi="Times New Roman" w:cs="Times New Roman"/>
          <w:sz w:val="24"/>
          <w:szCs w:val="24"/>
          <w:lang w:val="en-US"/>
        </w:rPr>
        <w:t xml:space="preserve">2-8 </w:t>
      </w:r>
      <w:proofErr w:type="spellStart"/>
      <w:r w:rsidRPr="007D12C0">
        <w:rPr>
          <w:rFonts w:ascii="Times New Roman" w:hAnsi="Times New Roman" w:cs="Times New Roman"/>
          <w:sz w:val="24"/>
          <w:szCs w:val="24"/>
          <w:lang w:val="en-US"/>
        </w:rPr>
        <w:t>carboned</w:t>
      </w:r>
      <w:proofErr w:type="spellEnd"/>
      <w:r w:rsidRPr="007D12C0">
        <w:rPr>
          <w:rFonts w:ascii="Times New Roman" w:hAnsi="Times New Roman" w:cs="Times New Roman"/>
          <w:sz w:val="24"/>
          <w:szCs w:val="24"/>
          <w:lang w:val="en-US"/>
        </w:rPr>
        <w:t xml:space="preserve"> fatty acids are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iquid form at room temperature. </w:t>
      </w:r>
      <w:r w:rsidRPr="007D12C0">
        <w:rPr>
          <w:rFonts w:ascii="Times New Roman" w:hAnsi="Times New Roman" w:cs="Times New Roman"/>
          <w:sz w:val="24"/>
          <w:szCs w:val="24"/>
          <w:lang w:val="en-US"/>
        </w:rPr>
        <w:t>2-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carboned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have sharp smell. As their carbon numbers increase,</w:t>
      </w:r>
      <w:r w:rsidRPr="007D12C0">
        <w:rPr>
          <w:rFonts w:ascii="Times New Roman" w:hAnsi="Times New Roman" w:cs="Times New Roman"/>
          <w:sz w:val="24"/>
          <w:szCs w:val="24"/>
          <w:lang w:val="en-US"/>
        </w:rPr>
        <w:t xml:space="preserve"> their melting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nd boiling points gets also higher.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0775F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 (CH</w:t>
      </w:r>
      <w:r w:rsidRPr="000775F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Pr="000775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775F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their general formula. </w:t>
      </w:r>
    </w:p>
    <w:tbl>
      <w:tblPr>
        <w:tblStyle w:val="TabloKlavuzu"/>
        <w:tblW w:w="0" w:type="auto"/>
        <w:tblInd w:w="1271" w:type="dxa"/>
        <w:tblLook w:val="04A0" w:firstRow="1" w:lastRow="0" w:firstColumn="1" w:lastColumn="0" w:noHBand="0" w:noVBand="1"/>
      </w:tblPr>
      <w:tblGrid>
        <w:gridCol w:w="994"/>
        <w:gridCol w:w="1699"/>
        <w:gridCol w:w="1418"/>
        <w:gridCol w:w="1843"/>
      </w:tblGrid>
      <w:tr w:rsidR="00984899" w:rsidTr="003A2729">
        <w:tc>
          <w:tcPr>
            <w:tcW w:w="4111" w:type="dxa"/>
            <w:gridSpan w:val="3"/>
          </w:tcPr>
          <w:p w:rsidR="00984899" w:rsidRPr="007D12C0" w:rsidRDefault="00984899" w:rsidP="003A272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12C0">
              <w:rPr>
                <w:rFonts w:ascii="Times New Roman" w:hAnsi="Times New Roman" w:cs="Times New Roman"/>
                <w:b/>
                <w:lang w:val="en-US"/>
              </w:rPr>
              <w:t>C number</w:t>
            </w:r>
          </w:p>
        </w:tc>
        <w:tc>
          <w:tcPr>
            <w:tcW w:w="1843" w:type="dxa"/>
          </w:tcPr>
          <w:p w:rsidR="00984899" w:rsidRPr="007D12C0" w:rsidRDefault="00984899" w:rsidP="003A272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D12C0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 w:themeColor="dark1"/>
                <w:kern w:val="24"/>
                <w:sz w:val="22"/>
                <w:szCs w:val="22"/>
              </w:rPr>
              <w:t>2</w:t>
            </w:r>
          </w:p>
        </w:tc>
        <w:tc>
          <w:tcPr>
            <w:tcW w:w="1699" w:type="dxa"/>
            <w:vMerge w:val="restart"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12C0">
              <w:rPr>
                <w:rFonts w:ascii="Times New Roman" w:hAnsi="Times New Roman" w:cs="Times New Roman"/>
                <w:lang w:val="en-US"/>
              </w:rPr>
              <w:t>Water soluble</w:t>
            </w:r>
          </w:p>
        </w:tc>
        <w:tc>
          <w:tcPr>
            <w:tcW w:w="1418" w:type="dxa"/>
            <w:vMerge w:val="restart"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12C0">
              <w:rPr>
                <w:rFonts w:ascii="Times New Roman" w:hAnsi="Times New Roman" w:cs="Times New Roman"/>
              </w:rPr>
              <w:t>Volatile</w:t>
            </w:r>
            <w:proofErr w:type="spellEnd"/>
          </w:p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bCs/>
                <w:color w:val="000000" w:themeColor="dark1"/>
                <w:kern w:val="24"/>
                <w:sz w:val="22"/>
                <w:szCs w:val="22"/>
              </w:rPr>
              <w:t>Acetic</w:t>
            </w:r>
            <w:proofErr w:type="spellEnd"/>
            <w:r w:rsidRPr="007D12C0">
              <w:rPr>
                <w:bCs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bCs/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4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Butyric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6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Caproic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8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Caprylic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10</w:t>
            </w:r>
          </w:p>
        </w:tc>
        <w:tc>
          <w:tcPr>
            <w:tcW w:w="1699" w:type="dxa"/>
            <w:vMerge w:val="restart"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12C0">
              <w:rPr>
                <w:rFonts w:ascii="Times New Roman" w:hAnsi="Times New Roman" w:cs="Times New Roman"/>
                <w:lang w:val="en-US"/>
              </w:rPr>
              <w:t>Water insoluble</w:t>
            </w: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Capric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12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Lauric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14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D12C0">
              <w:rPr>
                <w:rFonts w:ascii="Times New Roman" w:hAnsi="Times New Roman" w:cs="Times New Roman"/>
                <w:lang w:val="en-US"/>
              </w:rPr>
              <w:t>Non-Volatile</w:t>
            </w:r>
          </w:p>
        </w:tc>
        <w:tc>
          <w:tcPr>
            <w:tcW w:w="1843" w:type="dxa"/>
          </w:tcPr>
          <w:p w:rsidR="00984899" w:rsidRPr="008B0E91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8B0E91">
              <w:rPr>
                <w:kern w:val="24"/>
                <w:sz w:val="22"/>
                <w:szCs w:val="22"/>
              </w:rPr>
              <w:t>Myristic</w:t>
            </w:r>
            <w:proofErr w:type="spellEnd"/>
            <w:r w:rsidRPr="008B0E91">
              <w:rPr>
                <w:kern w:val="24"/>
                <w:sz w:val="22"/>
                <w:szCs w:val="22"/>
              </w:rPr>
              <w:t xml:space="preserve"> </w:t>
            </w:r>
            <w:proofErr w:type="spellStart"/>
            <w:r w:rsidRPr="008B0E91">
              <w:rPr>
                <w:kern w:val="24"/>
                <w:sz w:val="22"/>
                <w:szCs w:val="22"/>
              </w:rPr>
              <w:t>acid</w:t>
            </w:r>
            <w:proofErr w:type="spellEnd"/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16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8B0E91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8B0E91">
              <w:rPr>
                <w:kern w:val="24"/>
                <w:sz w:val="22"/>
                <w:szCs w:val="22"/>
              </w:rPr>
              <w:t>Palmitic</w:t>
            </w:r>
            <w:proofErr w:type="spellEnd"/>
            <w:r w:rsidRPr="008B0E91">
              <w:rPr>
                <w:kern w:val="24"/>
                <w:sz w:val="22"/>
                <w:szCs w:val="22"/>
              </w:rPr>
              <w:t xml:space="preserve"> </w:t>
            </w:r>
            <w:proofErr w:type="spellStart"/>
            <w:r w:rsidRPr="008B0E91">
              <w:rPr>
                <w:kern w:val="24"/>
                <w:sz w:val="22"/>
                <w:szCs w:val="22"/>
              </w:rPr>
              <w:t>acid</w:t>
            </w:r>
            <w:proofErr w:type="spellEnd"/>
            <w:r w:rsidRPr="008B0E91">
              <w:rPr>
                <w:kern w:val="24"/>
                <w:sz w:val="22"/>
                <w:szCs w:val="22"/>
              </w:rPr>
              <w:t xml:space="preserve"> 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18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8B0E91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8B0E91">
              <w:rPr>
                <w:kern w:val="24"/>
                <w:sz w:val="22"/>
                <w:szCs w:val="22"/>
              </w:rPr>
              <w:t>Stearic</w:t>
            </w:r>
            <w:proofErr w:type="spellEnd"/>
            <w:r w:rsidRPr="008B0E91">
              <w:rPr>
                <w:kern w:val="24"/>
                <w:sz w:val="22"/>
                <w:szCs w:val="22"/>
              </w:rPr>
              <w:t xml:space="preserve"> </w:t>
            </w:r>
            <w:proofErr w:type="spellStart"/>
            <w:r w:rsidRPr="008B0E91">
              <w:rPr>
                <w:kern w:val="24"/>
                <w:sz w:val="22"/>
                <w:szCs w:val="22"/>
              </w:rPr>
              <w:t>acid</w:t>
            </w:r>
            <w:proofErr w:type="spellEnd"/>
            <w:r w:rsidRPr="008B0E91">
              <w:rPr>
                <w:kern w:val="24"/>
                <w:sz w:val="22"/>
                <w:szCs w:val="22"/>
              </w:rPr>
              <w:t xml:space="preserve"> </w:t>
            </w:r>
          </w:p>
        </w:tc>
      </w:tr>
      <w:tr w:rsidR="00984899" w:rsidTr="003A2729">
        <w:tc>
          <w:tcPr>
            <w:tcW w:w="994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D12C0">
              <w:rPr>
                <w:color w:val="000000" w:themeColor="dark1"/>
                <w:kern w:val="24"/>
                <w:sz w:val="22"/>
                <w:szCs w:val="22"/>
              </w:rPr>
              <w:t>20</w:t>
            </w:r>
          </w:p>
        </w:tc>
        <w:tc>
          <w:tcPr>
            <w:tcW w:w="1699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984899" w:rsidRPr="007D12C0" w:rsidRDefault="00984899" w:rsidP="003A27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984899" w:rsidRPr="007D12C0" w:rsidRDefault="00984899" w:rsidP="003A2729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Arachidic</w:t>
            </w:r>
            <w:proofErr w:type="spellEnd"/>
            <w:r w:rsidRPr="007D12C0">
              <w:rPr>
                <w:color w:val="000000" w:themeColor="dark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7D12C0">
              <w:rPr>
                <w:color w:val="000000" w:themeColor="dark1"/>
                <w:kern w:val="24"/>
                <w:sz w:val="22"/>
                <w:szCs w:val="22"/>
              </w:rPr>
              <w:t>acid</w:t>
            </w:r>
            <w:proofErr w:type="spellEnd"/>
          </w:p>
        </w:tc>
      </w:tr>
    </w:tbl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E91">
        <w:rPr>
          <w:rFonts w:ascii="Times New Roman" w:hAnsi="Times New Roman" w:cs="Times New Roman"/>
          <w:i/>
          <w:sz w:val="24"/>
          <w:szCs w:val="24"/>
          <w:lang w:val="en-US"/>
        </w:rPr>
        <w:t>Unsaturated fatty acids</w:t>
      </w:r>
      <w:r w:rsidRPr="008B0E91">
        <w:rPr>
          <w:rFonts w:ascii="Times New Roman" w:hAnsi="Times New Roman" w:cs="Times New Roman"/>
          <w:sz w:val="24"/>
          <w:szCs w:val="24"/>
          <w:lang w:val="en-US"/>
        </w:rPr>
        <w:t xml:space="preserve"> contain one or more double carbon-c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arbon bonds in the carbon chain. </w:t>
      </w:r>
      <w:r w:rsidRPr="008B0E91">
        <w:rPr>
          <w:rFonts w:ascii="Times New Roman" w:hAnsi="Times New Roman" w:cs="Times New Roman"/>
          <w:sz w:val="24"/>
          <w:szCs w:val="24"/>
          <w:lang w:val="en-US"/>
        </w:rPr>
        <w:t>They are liquid at room temperature, and they have low melting points.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E91">
        <w:rPr>
          <w:rFonts w:ascii="Times New Roman" w:hAnsi="Times New Roman" w:cs="Times New Roman"/>
          <w:sz w:val="24"/>
          <w:szCs w:val="24"/>
          <w:lang w:val="en-US"/>
        </w:rPr>
        <w:t>Monounsaturated fat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ty acids have one carbon–carbon double bond, whereas </w:t>
      </w:r>
      <w:r w:rsidRPr="008B0E91">
        <w:rPr>
          <w:rFonts w:ascii="Times New Roman" w:hAnsi="Times New Roman" w:cs="Times New Roman"/>
          <w:sz w:val="24"/>
          <w:szCs w:val="24"/>
          <w:lang w:val="en-US"/>
        </w:rPr>
        <w:t xml:space="preserve">polyunsaturated fatty acids (PUFA),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8B0E91">
        <w:rPr>
          <w:rFonts w:ascii="Times New Roman" w:hAnsi="Times New Roman" w:cs="Times New Roman"/>
          <w:sz w:val="24"/>
          <w:szCs w:val="24"/>
          <w:lang w:val="en-US"/>
        </w:rPr>
        <w:t xml:space="preserve"> two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more double bonds.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These fatty acids are also characterized by the presence of cis-trans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>at their double bonds.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Cis means that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>the hydrogen atoms on eit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her side of the double bond are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>oriented in the same direction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the hydrogen atoms are in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 opposite side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then it is defined as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775F4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 configuration.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>In nature, cis configuration is the most common one for unsaturated fatty acids.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Cis bond causes a bend in the fatty acid chain, whereas the geometry of </w:t>
      </w:r>
      <w:proofErr w:type="gramStart"/>
      <w:r w:rsidRPr="000775F4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0775F4">
        <w:rPr>
          <w:rFonts w:ascii="Times New Roman" w:hAnsi="Times New Roman" w:cs="Times New Roman"/>
          <w:sz w:val="24"/>
          <w:szCs w:val="24"/>
          <w:lang w:val="en-US"/>
        </w:rPr>
        <w:t xml:space="preserve"> bond straightens the fatty acid chain, imparting a structure more similar to that of saturated fatty acids.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>The cis fatty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have lower melting points than 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4F183C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fatty acids or their saturated counterparts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</w:t>
      </w:r>
      <w:r>
        <w:rPr>
          <w:noProof/>
          <w:lang w:eastAsia="tr-TR"/>
        </w:rPr>
        <w:drawing>
          <wp:inline distT="0" distB="0" distL="0" distR="0" wp14:anchorId="207EAAE1" wp14:editId="366E37EE">
            <wp:extent cx="2133600" cy="1225625"/>
            <wp:effectExtent l="0" t="0" r="0" b="0"/>
            <wp:docPr id="2" name="Resim 2" descr="trans  fatty acids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  fatty acids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46" cy="126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There are two broad types of </w:t>
      </w:r>
      <w:proofErr w:type="gramStart"/>
      <w:r w:rsidRPr="004F183C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fats found in foods: naturally-occurring and artificial trans fats. Naturally-occurring </w:t>
      </w:r>
      <w:proofErr w:type="gramStart"/>
      <w:r w:rsidRPr="004F183C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fats are produced in the gut of some animals and foods made from these animals (e.g., milk and meat products) may contain small quantities of these fats. Artificial </w:t>
      </w:r>
      <w:proofErr w:type="gramStart"/>
      <w:r w:rsidRPr="004F183C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fats (or trans fatty acids) are created in an industrial process that adds hydrogen to liquid vegetable oils to make them more solid.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Trans fats have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a melting point, consistency and “mouth fe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el” similar to those of butter,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 xml:space="preserve">a long </w:t>
      </w:r>
      <w:r>
        <w:rPr>
          <w:rFonts w:ascii="Times New Roman" w:hAnsi="Times New Roman" w:cs="Times New Roman"/>
          <w:sz w:val="24"/>
          <w:szCs w:val="24"/>
          <w:lang w:val="en-US"/>
        </w:rPr>
        <w:t>shelf life at room temperature, a flavor stability and t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hey are stable during frying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Because of these properties they are used in food industry. They 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>can be found in many foods – including fried foods like doughnuts, and baked goods including cakes, pie crusts, biscuits, frozen pizza, cookies, crackers, and stick margarines and other spreads.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But t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he primary dietary source for </w:t>
      </w:r>
      <w:proofErr w:type="gramStart"/>
      <w:r w:rsidRPr="004F183C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rans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fats in processed food is 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>partially hydrogenated oils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According to the researches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fats raises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bad (LDL) c</w:t>
      </w:r>
      <w:r>
        <w:rPr>
          <w:rFonts w:ascii="Times New Roman" w:hAnsi="Times New Roman" w:cs="Times New Roman"/>
          <w:sz w:val="24"/>
          <w:szCs w:val="24"/>
          <w:lang w:val="en-US"/>
        </w:rPr>
        <w:t>holesterol levels and lower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good (HDL) </w:t>
      </w:r>
      <w:r>
        <w:rPr>
          <w:rFonts w:ascii="Times New Roman" w:hAnsi="Times New Roman" w:cs="Times New Roman"/>
          <w:sz w:val="24"/>
          <w:szCs w:val="24"/>
          <w:lang w:val="en-US"/>
        </w:rPr>
        <w:t>ones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Eating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fats increases the</w:t>
      </w:r>
      <w:r w:rsidRPr="004F183C">
        <w:rPr>
          <w:rFonts w:ascii="Times New Roman" w:hAnsi="Times New Roman" w:cs="Times New Roman"/>
          <w:sz w:val="24"/>
          <w:szCs w:val="24"/>
          <w:lang w:val="en-US"/>
        </w:rPr>
        <w:t xml:space="preserve"> risk of developing heart disease and stroke. It’s also associated with a higher risk of developing type 2 diabetes.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On 2003 FDA ruled that food labels, for conventional foods and supplements, show their 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ntent.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On 2006 American Heart Association recommended to limit their intake to 1% of daily calorie consumption, and suggested food manufacturers and restaurants switch to other fats.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3FCE">
        <w:rPr>
          <w:rFonts w:ascii="Times New Roman" w:hAnsi="Times New Roman" w:cs="Times New Roman"/>
          <w:i/>
          <w:sz w:val="24"/>
          <w:szCs w:val="24"/>
          <w:lang w:val="en-US"/>
        </w:rPr>
        <w:t>Hydrogenation: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 xml:space="preserve">s a chemical reaction in which hydrogen atoms react, in the presence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a catalyst, with a molecule.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The hydrogenation of unsaturated fatty acids involves the addition of hydrogen atoms to double bonds on the carbon chains of fatty acids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reaction occurs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in presence of high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temperature, pressure and catalyst.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Nickel or cadmium can be used as a catalyst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73FCE">
        <w:rPr>
          <w:rFonts w:ascii="Times New Roman" w:hAnsi="Times New Roman" w:cs="Times New Roman"/>
          <w:sz w:val="24"/>
          <w:szCs w:val="24"/>
          <w:lang w:val="en-US"/>
        </w:rPr>
        <w:t>By this process the oils are converted into solid fats (glyce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rides of saturated fatty acids)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so their t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ermal and oxidative stability can increase.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Partially hydrogenated vegetable oils were developed for the production of vegetable fats, a cheaper alternative to animal fats. In fact, through hydrogenation, oils such as soybean, safflower and cottonseed oils, which are rich in unsaturated fatty acids, are converted into semi-solid fats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But most importantly during this process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fats are formed.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Margarine is 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most common product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>, which is produced by hydrogenation.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6719">
        <w:rPr>
          <w:rFonts w:ascii="Times New Roman" w:hAnsi="Times New Roman" w:cs="Times New Roman"/>
          <w:sz w:val="24"/>
          <w:szCs w:val="24"/>
          <w:lang w:val="en-US"/>
        </w:rPr>
        <w:t xml:space="preserve">They contain generally 13-20 % </w:t>
      </w:r>
      <w:proofErr w:type="gramStart"/>
      <w:r w:rsidRPr="002B6719">
        <w:rPr>
          <w:rFonts w:ascii="Times New Roman" w:hAnsi="Times New Roman" w:cs="Times New Roman"/>
          <w:sz w:val="24"/>
          <w:szCs w:val="24"/>
          <w:lang w:val="en-US"/>
        </w:rPr>
        <w:t>trans</w:t>
      </w:r>
      <w:proofErr w:type="gramEnd"/>
      <w:r w:rsidRPr="002B6719">
        <w:rPr>
          <w:rFonts w:ascii="Times New Roman" w:hAnsi="Times New Roman" w:cs="Times New Roman"/>
          <w:sz w:val="24"/>
          <w:szCs w:val="24"/>
          <w:lang w:val="en-US"/>
        </w:rPr>
        <w:t xml:space="preserve"> fatty acids.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124">
        <w:rPr>
          <w:rFonts w:ascii="Times New Roman" w:hAnsi="Times New Roman" w:cs="Times New Roman"/>
          <w:sz w:val="24"/>
          <w:szCs w:val="24"/>
          <w:lang w:val="en-US"/>
        </w:rPr>
        <w:t xml:space="preserve">On the basis of the ability or not to synthesize them in our body, fatty acids can be divided into two </w:t>
      </w:r>
      <w:proofErr w:type="gramStart"/>
      <w:r w:rsidRPr="00744124">
        <w:rPr>
          <w:rFonts w:ascii="Times New Roman" w:hAnsi="Times New Roman" w:cs="Times New Roman"/>
          <w:sz w:val="24"/>
          <w:szCs w:val="24"/>
          <w:lang w:val="en-US"/>
        </w:rPr>
        <w:t>groups</w:t>
      </w:r>
      <w:proofErr w:type="gramEnd"/>
      <w:r w:rsidRPr="00744124">
        <w:rPr>
          <w:rFonts w:ascii="Times New Roman" w:hAnsi="Times New Roman" w:cs="Times New Roman"/>
          <w:sz w:val="24"/>
          <w:szCs w:val="24"/>
          <w:lang w:val="en-US"/>
        </w:rPr>
        <w:t xml:space="preserve"> essential and non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fatty acids. 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>Essential fatty acids cannot be synthesized in our body, so we need to take them on our diet. All the other fatty acids can be synthesized or converted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our body. Essential fatty acids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 xml:space="preserve"> are polyunsaturated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fatty acids (PUFAs) since they 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ontain two or more double bonds 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 xml:space="preserve">and our body can </w:t>
      </w:r>
      <w:r>
        <w:rPr>
          <w:rFonts w:ascii="Times New Roman" w:hAnsi="Times New Roman" w:cs="Times New Roman"/>
          <w:sz w:val="24"/>
          <w:szCs w:val="24"/>
          <w:lang w:val="en-US"/>
        </w:rPr>
        <w:t>only synthesize fatty acids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 xml:space="preserve"> have one double bond.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>There are two essential f</w:t>
      </w:r>
      <w:r>
        <w:rPr>
          <w:rFonts w:ascii="Times New Roman" w:hAnsi="Times New Roman" w:cs="Times New Roman"/>
          <w:sz w:val="24"/>
          <w:szCs w:val="24"/>
          <w:lang w:val="en-US"/>
        </w:rPr>
        <w:t>atty acids: linoleic acid or (LA) and α-linolenic acid (</w:t>
      </w:r>
      <w:r w:rsidRPr="00744124">
        <w:rPr>
          <w:rFonts w:ascii="Times New Roman" w:hAnsi="Times New Roman" w:cs="Times New Roman"/>
          <w:sz w:val="24"/>
          <w:szCs w:val="24"/>
          <w:lang w:val="en-US"/>
        </w:rPr>
        <w:t>ALA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LA and ALA can be elongated and desaturated into the functionally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important long</w:t>
      </w:r>
      <w:r>
        <w:rPr>
          <w:rFonts w:ascii="Times New Roman" w:hAnsi="Times New Roman" w:cs="Times New Roman"/>
          <w:sz w:val="24"/>
          <w:szCs w:val="24"/>
          <w:lang w:val="en-US"/>
        </w:rPr>
        <w:t>er chain omega-6 and omega-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 xml:space="preserve">3 fatty acids. ALA (18 carbons) can be converted into a small amount of </w:t>
      </w:r>
      <w:proofErr w:type="spellStart"/>
      <w:r w:rsidRPr="006A5D9D">
        <w:rPr>
          <w:rFonts w:ascii="Times New Roman" w:hAnsi="Times New Roman" w:cs="Times New Roman"/>
          <w:sz w:val="24"/>
          <w:szCs w:val="24"/>
          <w:lang w:val="en-US"/>
        </w:rPr>
        <w:t>eicosapentaenoic</w:t>
      </w:r>
      <w:proofErr w:type="spellEnd"/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EPA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 xml:space="preserve">20 carbons) and even less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docosahexaenoic acid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DHA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09B9">
        <w:rPr>
          <w:rFonts w:ascii="Times New Roman" w:hAnsi="Times New Roman" w:cs="Times New Roman"/>
          <w:sz w:val="24"/>
          <w:szCs w:val="24"/>
          <w:lang w:val="en-US"/>
        </w:rPr>
        <w:t>22 carbons).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converted to arachidonic acid.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The body 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ses essential fatty acids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for the formation of healthy cell membranes,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the proper development and functioning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 xml:space="preserve">the brain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nervous system, and for the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produc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tion of hormone-like substances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ca</w:t>
      </w:r>
      <w:r>
        <w:rPr>
          <w:rFonts w:ascii="Times New Roman" w:hAnsi="Times New Roman" w:cs="Times New Roman"/>
          <w:sz w:val="24"/>
          <w:szCs w:val="24"/>
          <w:lang w:val="en-US"/>
        </w:rPr>
        <w:t>lled eicosanoids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thromboxanes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leuko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trienes, and prostaglandins). These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chemicals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egulate numerous body functions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including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lood pressure, blood viscosity,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and vasoconstriction, immune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inflammatory </w:t>
      </w:r>
      <w:r w:rsidRPr="001E4171">
        <w:rPr>
          <w:rFonts w:ascii="Times New Roman" w:hAnsi="Times New Roman" w:cs="Times New Roman"/>
          <w:sz w:val="24"/>
          <w:szCs w:val="24"/>
          <w:lang w:val="en-US"/>
        </w:rPr>
        <w:t>responses</w:t>
      </w:r>
      <w:r>
        <w:rPr>
          <w:rFonts w:ascii="Times New Roman" w:hAnsi="Times New Roman" w:cs="Times New Roman"/>
          <w:sz w:val="24"/>
          <w:szCs w:val="24"/>
          <w:lang w:val="en-US"/>
        </w:rPr>
        <w:t>. Omega-6 fatty acids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 are found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leafy vegetables, seeds, nuts,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grains, and vegetable oils (corn,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safflower, soybean, and cottonseed,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>and sesame, sunflower).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best source of ALA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is flaxseeds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flaxseed oil. For those seeking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to increase their intake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omega-3 fats, more concentrated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 xml:space="preserve">sources can be found in oils </w:t>
      </w:r>
      <w:r>
        <w:rPr>
          <w:rFonts w:ascii="Times New Roman" w:hAnsi="Times New Roman" w:cs="Times New Roman"/>
          <w:sz w:val="24"/>
          <w:szCs w:val="24"/>
          <w:lang w:val="en-US"/>
        </w:rPr>
        <w:t>such as canola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>, soybean, walnut, and wheat germ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A5D9D">
        <w:rPr>
          <w:rFonts w:ascii="Times New Roman" w:hAnsi="Times New Roman" w:cs="Times New Roman"/>
          <w:sz w:val="24"/>
          <w:szCs w:val="24"/>
          <w:lang w:val="en-US"/>
        </w:rPr>
        <w:t>In the human diet, EPA and DHA derive from fish, shellfish and fish oil particularly that derived from cold-water fatty fish.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2DFE">
        <w:rPr>
          <w:rFonts w:ascii="Times New Roman" w:hAnsi="Times New Roman" w:cs="Times New Roman"/>
          <w:sz w:val="24"/>
          <w:szCs w:val="24"/>
          <w:lang w:val="en-US"/>
        </w:rPr>
        <w:t>The bal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ance between omega-6 and omega-3 in the </w:t>
      </w:r>
      <w:r w:rsidRPr="007D2DFE">
        <w:rPr>
          <w:rFonts w:ascii="Times New Roman" w:hAnsi="Times New Roman" w:cs="Times New Roman"/>
          <w:sz w:val="24"/>
          <w:szCs w:val="24"/>
          <w:lang w:val="en-US"/>
        </w:rPr>
        <w:t>diet seems to be crucial for a better human health.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According to WHO for every 10-15 g of omega-6 fatty acids, 1 g of omeg-3 should be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consumed.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4899" w:rsidRDefault="00984899" w:rsidP="009848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DFE">
        <w:rPr>
          <w:rFonts w:ascii="Times New Roman" w:hAnsi="Times New Roman" w:cs="Times New Roman"/>
          <w:b/>
          <w:sz w:val="24"/>
          <w:szCs w:val="24"/>
          <w:lang w:val="en-US"/>
        </w:rPr>
        <w:t>Chemical Properties of Lipids</w:t>
      </w:r>
    </w:p>
    <w:p w:rsidR="00984899" w:rsidRDefault="00984899" w:rsidP="009848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DFE">
        <w:rPr>
          <w:rFonts w:ascii="Times New Roman" w:hAnsi="Times New Roman" w:cs="Times New Roman"/>
          <w:i/>
          <w:sz w:val="24"/>
          <w:szCs w:val="24"/>
          <w:lang w:val="en-US"/>
        </w:rPr>
        <w:t>Esterification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D2DFE">
        <w:rPr>
          <w:rFonts w:ascii="Times New Roman" w:hAnsi="Times New Roman" w:cs="Times New Roman"/>
          <w:sz w:val="24"/>
          <w:szCs w:val="24"/>
          <w:lang w:val="en-US"/>
        </w:rPr>
        <w:t>Reaction between alcohol and the carboxyl group of the fatty acids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noProof/>
          <w:lang w:eastAsia="tr-TR"/>
        </w:rPr>
        <w:drawing>
          <wp:inline distT="0" distB="0" distL="0" distR="0" wp14:anchorId="3D647629" wp14:editId="5215CE6C">
            <wp:extent cx="4266565" cy="1111250"/>
            <wp:effectExtent l="0" t="0" r="635" b="0"/>
            <wp:docPr id="3" name="Resim 3" descr="esterificati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erificati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313" cy="112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DFE">
        <w:rPr>
          <w:rFonts w:ascii="Times New Roman" w:hAnsi="Times New Roman" w:cs="Times New Roman"/>
          <w:i/>
          <w:sz w:val="24"/>
          <w:szCs w:val="24"/>
          <w:lang w:val="en-US"/>
        </w:rPr>
        <w:t>Saponification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 xml:space="preserve">Hydrolysis of lipids with </w:t>
      </w:r>
      <w:proofErr w:type="spellStart"/>
      <w:r w:rsidRPr="00765532">
        <w:rPr>
          <w:rFonts w:ascii="Times New Roman" w:hAnsi="Times New Roman" w:cs="Times New Roman"/>
          <w:sz w:val="24"/>
          <w:szCs w:val="24"/>
          <w:lang w:val="en-US"/>
        </w:rPr>
        <w:t>alkalines</w:t>
      </w:r>
      <w:proofErr w:type="spellEnd"/>
      <w:r w:rsidRPr="00765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(KOH 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Saponification number 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 xml:space="preserve">is the number of milligrams of KOH required to </w:t>
      </w:r>
      <w:proofErr w:type="spellStart"/>
      <w:r w:rsidRPr="00765532">
        <w:rPr>
          <w:rFonts w:ascii="Times New Roman" w:hAnsi="Times New Roman" w:cs="Times New Roman"/>
          <w:sz w:val="24"/>
          <w:szCs w:val="24"/>
          <w:lang w:val="en-US"/>
        </w:rPr>
        <w:t>saponify</w:t>
      </w:r>
      <w:proofErr w:type="spellEnd"/>
      <w:r w:rsidRPr="00765532">
        <w:rPr>
          <w:rFonts w:ascii="Times New Roman" w:hAnsi="Times New Roman" w:cs="Times New Roman"/>
          <w:sz w:val="24"/>
          <w:szCs w:val="24"/>
          <w:lang w:val="en-US"/>
        </w:rPr>
        <w:t xml:space="preserve"> the free and combined fat in 1 gram of a given fat.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this property of lipids fraud in a lipid can be found. Every lipid has a specific saponification number.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noProof/>
          <w:lang w:eastAsia="tr-TR"/>
        </w:rPr>
        <w:drawing>
          <wp:inline distT="0" distB="0" distL="0" distR="0" wp14:anchorId="299CE2AC" wp14:editId="02B0A75F">
            <wp:extent cx="4023360" cy="1143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289" cy="117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532">
        <w:rPr>
          <w:rFonts w:ascii="Times New Roman" w:hAnsi="Times New Roman" w:cs="Times New Roman"/>
          <w:i/>
          <w:sz w:val="24"/>
          <w:szCs w:val="24"/>
          <w:lang w:val="en-US"/>
        </w:rPr>
        <w:t>Acrolein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Forming</w:t>
      </w:r>
      <w:r>
        <w:rPr>
          <w:rFonts w:ascii="Times New Roman" w:hAnsi="Times New Roman" w:cs="Times New Roman"/>
          <w:sz w:val="24"/>
          <w:szCs w:val="24"/>
          <w:lang w:val="en-US"/>
        </w:rPr>
        <w:t>: When h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>eated in the presence of potassium hydrogen sulfate, glycerol dehydrated and form acrolein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Acroleins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have unpleasant odor.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>
        <w:rPr>
          <w:noProof/>
          <w:lang w:eastAsia="tr-TR"/>
        </w:rPr>
        <w:drawing>
          <wp:inline distT="0" distB="0" distL="0" distR="0" wp14:anchorId="4E11948B" wp14:editId="137C78B6">
            <wp:extent cx="3168650" cy="1151255"/>
            <wp:effectExtent l="0" t="0" r="0" b="0"/>
            <wp:docPr id="5" name="Resim 5" descr="acrolei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rolei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932" cy="11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99" w:rsidRDefault="00984899" w:rsidP="00984899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84899" w:rsidRDefault="00984899" w:rsidP="00984899">
      <w:pPr>
        <w:jc w:val="both"/>
        <w:rPr>
          <w:noProof/>
          <w:lang w:eastAsia="tr-TR"/>
        </w:rPr>
      </w:pPr>
      <w:r w:rsidRPr="0076553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Binding Halogens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Halogens, like iodine, 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>can bind to the double bond</w:t>
      </w:r>
      <w:r>
        <w:rPr>
          <w:rFonts w:ascii="Times New Roman" w:hAnsi="Times New Roman" w:cs="Times New Roman"/>
          <w:sz w:val="24"/>
          <w:szCs w:val="24"/>
          <w:lang w:val="en-US"/>
        </w:rPr>
        <w:t>s of unsaturated lipid. This property shows the o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>rigin of the lipid by iod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65532">
        <w:rPr>
          <w:rFonts w:ascii="Times New Roman" w:hAnsi="Times New Roman" w:cs="Times New Roman"/>
          <w:sz w:val="24"/>
          <w:szCs w:val="24"/>
          <w:lang w:val="en-US"/>
        </w:rPr>
        <w:t>e number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65532">
        <w:rPr>
          <w:noProof/>
          <w:lang w:eastAsia="tr-TR"/>
        </w:rPr>
        <w:t xml:space="preserve">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>
        <w:rPr>
          <w:noProof/>
          <w:lang w:eastAsia="tr-TR"/>
        </w:rPr>
        <w:drawing>
          <wp:inline distT="0" distB="0" distL="0" distR="0" wp14:anchorId="292F8AED" wp14:editId="1FF17167">
            <wp:extent cx="2705100" cy="633208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9902" cy="6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899" w:rsidRDefault="00984899" w:rsidP="0098489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64A">
        <w:rPr>
          <w:rFonts w:ascii="Times New Roman" w:hAnsi="Times New Roman" w:cs="Times New Roman"/>
          <w:b/>
          <w:sz w:val="24"/>
          <w:szCs w:val="24"/>
          <w:lang w:val="en-US"/>
        </w:rPr>
        <w:t>Rancidity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(Oxidation of lipids)</w:t>
      </w:r>
    </w:p>
    <w:p w:rsidR="00984899" w:rsidRPr="0029664A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664A">
        <w:rPr>
          <w:rFonts w:ascii="Times New Roman" w:hAnsi="Times New Roman" w:cs="Times New Roman"/>
          <w:sz w:val="24"/>
          <w:szCs w:val="24"/>
          <w:lang w:val="en-US"/>
        </w:rPr>
        <w:t>Lipid oxidation is one of the major reasons that foods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eteriorate and is caused by the </w:t>
      </w:r>
      <w:r w:rsidRPr="0029664A">
        <w:rPr>
          <w:rFonts w:ascii="Times New Roman" w:hAnsi="Times New Roman" w:cs="Times New Roman"/>
          <w:sz w:val="24"/>
          <w:szCs w:val="24"/>
          <w:lang w:val="en-US"/>
        </w:rPr>
        <w:t xml:space="preserve">reaction of fats and oils with molecular oxygen leading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off-flavors that are generally </w:t>
      </w:r>
      <w:r w:rsidRPr="0029664A">
        <w:rPr>
          <w:rFonts w:ascii="Times New Roman" w:hAnsi="Times New Roman" w:cs="Times New Roman"/>
          <w:sz w:val="24"/>
          <w:szCs w:val="24"/>
          <w:lang w:val="en-US"/>
        </w:rPr>
        <w:t>called rancidity.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Rancidity is the development of unpleasant smells in fats and oils, which are often accompanied by changes in their texture and appearance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There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are two major causes of rancidity. One occurs when oil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eacts with oxygen and is called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 xml:space="preserve">oxidative rancidity. The other cause of rancidity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a combination of enzymes and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moisture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Enzymes such as lipases liberates fatty acids from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triglyceride to form di and/or </w:t>
      </w:r>
      <w:proofErr w:type="spellStart"/>
      <w:r w:rsidRPr="00785673">
        <w:rPr>
          <w:rFonts w:ascii="Times New Roman" w:hAnsi="Times New Roman" w:cs="Times New Roman"/>
          <w:sz w:val="24"/>
          <w:szCs w:val="24"/>
          <w:lang w:val="en-US"/>
        </w:rPr>
        <w:t>monoglycerides</w:t>
      </w:r>
      <w:proofErr w:type="spellEnd"/>
      <w:r w:rsidRPr="00785673">
        <w:rPr>
          <w:rFonts w:ascii="Times New Roman" w:hAnsi="Times New Roman" w:cs="Times New Roman"/>
          <w:sz w:val="24"/>
          <w:szCs w:val="24"/>
          <w:lang w:val="en-US"/>
        </w:rPr>
        <w:t xml:space="preserve"> and free fatty acids and such liberatio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of free fatty acids is called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hydrolysis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Rancidity caused by hydrolysis is called hydrolytic rancidity.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Factors effecting the rancidity are; fatty acid composition, temperature, antioxidants and light. 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5673">
        <w:rPr>
          <w:rFonts w:ascii="Times New Roman" w:hAnsi="Times New Roman" w:cs="Times New Roman"/>
          <w:i/>
          <w:sz w:val="24"/>
          <w:szCs w:val="24"/>
          <w:lang w:val="en-US"/>
        </w:rPr>
        <w:t>Hydrolytic rancidity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can affect saturated and unsaturated lipids. The reaction occurs without oxygen but in the presence of moisture and accelerated by temperature (increase) or a catalyst. 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These catalysts are usually enzymes (lipase, esterase, lipoxygenase, cyclooxygenase, etc.) or acidic in nature. </w:t>
      </w:r>
      <w:r>
        <w:rPr>
          <w:rFonts w:ascii="Times New Roman" w:hAnsi="Times New Roman" w:cs="Times New Roman"/>
          <w:sz w:val="24"/>
          <w:szCs w:val="24"/>
          <w:lang w:val="en-US"/>
        </w:rPr>
        <w:t>It is formed more in animal fats than vegetable oils.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5673">
        <w:rPr>
          <w:rFonts w:ascii="Times New Roman" w:hAnsi="Times New Roman" w:cs="Times New Roman"/>
          <w:i/>
          <w:sz w:val="24"/>
          <w:szCs w:val="24"/>
          <w:lang w:val="en-US"/>
        </w:rPr>
        <w:t>Oxidative rancidity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seen in unsaturated lipids. Oxygen binding to the double bonds. Reaction occurs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 xml:space="preserve"> in a series of steps.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Initiation step is s</w:t>
      </w:r>
      <w:r w:rsidRPr="00785673">
        <w:rPr>
          <w:rFonts w:ascii="Times New Roman" w:hAnsi="Times New Roman" w:cs="Times New Roman"/>
          <w:sz w:val="24"/>
          <w:szCs w:val="24"/>
          <w:lang w:val="en-US"/>
        </w:rPr>
        <w:t>low and triggered by light, metals, temperature</w:t>
      </w:r>
      <w:r>
        <w:rPr>
          <w:rFonts w:ascii="Times New Roman" w:hAnsi="Times New Roman" w:cs="Times New Roman"/>
          <w:sz w:val="24"/>
          <w:szCs w:val="24"/>
          <w:lang w:val="en-US"/>
        </w:rPr>
        <w:t>. Propagation step is ırreversible and free radicals are stars to form. Termination step, aldehydes and ketones forms which gives the characteristic off-flavors and odors.</w:t>
      </w:r>
    </w:p>
    <w:p w:rsidR="00984899" w:rsidRDefault="00984899" w:rsidP="009848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4899" w:rsidRDefault="00984899" w:rsidP="009848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4899" w:rsidRDefault="00984899" w:rsidP="009848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2F67">
        <w:rPr>
          <w:rFonts w:ascii="Times New Roman" w:hAnsi="Times New Roman" w:cs="Times New Roman"/>
          <w:b/>
          <w:sz w:val="24"/>
          <w:szCs w:val="24"/>
          <w:lang w:val="en-US"/>
        </w:rPr>
        <w:t>Emulsion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Emulsion is a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 xml:space="preserve"> special type of mixture made by combining two liquids that normally don't mix.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he word emulsion comes from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Latin word meaning "to milk",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 xml:space="preserve">milk is one example </w:t>
      </w:r>
      <w:r>
        <w:rPr>
          <w:rFonts w:ascii="Times New Roman" w:hAnsi="Times New Roman" w:cs="Times New Roman"/>
          <w:sz w:val="24"/>
          <w:szCs w:val="24"/>
          <w:lang w:val="en-US"/>
        </w:rPr>
        <w:t>of an emulsion of fat and water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2F67">
        <w:rPr>
          <w:rFonts w:ascii="Times New Roman" w:hAnsi="Times New Roman" w:cs="Times New Roman"/>
          <w:sz w:val="24"/>
          <w:szCs w:val="24"/>
          <w:lang w:val="en-US"/>
        </w:rPr>
        <w:t>An emulsion consists of two immiscible liquids (usually oil and water), with one of the liquids being dispersed as small spherical droplets in the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The 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oplets are termed the dispersed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phase, and the liquid that contains them is termed the continuous phase.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The process of turning a liquid mixture into an emulsion is called emulsification.</w:t>
      </w:r>
    </w:p>
    <w:p w:rsidR="00984899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0747">
        <w:rPr>
          <w:rFonts w:ascii="Times New Roman" w:hAnsi="Times New Roman" w:cs="Times New Roman"/>
          <w:sz w:val="24"/>
          <w:szCs w:val="24"/>
          <w:lang w:val="en-US"/>
        </w:rPr>
        <w:t>Emulsions can be conveniently classiﬁed according to the relative spatial distribution of the oil and aqueous phases. A system that consists of oil droplets dispersed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an aqueous phase is called an oil-in-water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(o/w) emulsion, for example, milk, cream, dressings, mayonnaise, beverages, soups, and sauces. A system that consists of water droplets disper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sed in an oil phase is called a water-in-oil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(w/o) emulsion, for example, margarine and butter.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4899" w:rsidRPr="005A2F67" w:rsidRDefault="00984899" w:rsidP="009848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0747">
        <w:rPr>
          <w:rFonts w:ascii="Times New Roman" w:hAnsi="Times New Roman" w:cs="Times New Roman"/>
          <w:sz w:val="24"/>
          <w:szCs w:val="24"/>
          <w:lang w:val="en-US"/>
        </w:rPr>
        <w:t>Emulsions are colloidal systems because of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size and surface area of the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>droplets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They are unstable structures and phase separation can easily occur. For this reason,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 xml:space="preserve">need emulsifiers to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lastRenderedPageBreak/>
        <w:t>stabilize the mixture and keep the different ingredients from becoming separated.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Emulsifiers coats the emulsion </w:t>
      </w:r>
      <w:r w:rsidRPr="00E90747">
        <w:rPr>
          <w:rFonts w:ascii="Times New Roman" w:hAnsi="Times New Roman" w:cs="Times New Roman"/>
          <w:sz w:val="24"/>
          <w:szCs w:val="24"/>
          <w:lang w:val="en-US"/>
        </w:rPr>
        <w:t xml:space="preserve">droplets and prevents them from coalescing </w:t>
      </w:r>
      <w:r>
        <w:rPr>
          <w:rFonts w:ascii="Times New Roman" w:hAnsi="Times New Roman" w:cs="Times New Roman"/>
          <w:sz w:val="24"/>
          <w:szCs w:val="24"/>
          <w:lang w:val="en-US"/>
        </w:rPr>
        <w:t>or recombining with each other. They</w:t>
      </w:r>
      <w:r w:rsidRPr="00A04CF6">
        <w:rPr>
          <w:rFonts w:ascii="Times New Roman" w:hAnsi="Times New Roman" w:cs="Times New Roman"/>
          <w:sz w:val="24"/>
          <w:szCs w:val="24"/>
          <w:lang w:val="en-US"/>
        </w:rPr>
        <w:t xml:space="preserve"> have one hydrophilic and one lipophilic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36175">
        <w:rPr>
          <w:rFonts w:ascii="Times New Roman" w:hAnsi="Times New Roman" w:cs="Times New Roman"/>
          <w:sz w:val="24"/>
          <w:szCs w:val="24"/>
          <w:lang w:val="en-US"/>
        </w:rPr>
        <w:t>Emulsifiers work by increasing the kinetic stability of a mixture. Surfactants or surface active agents are one type of emulsifiers.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Detergents are another </w:t>
      </w:r>
      <w:r w:rsidRPr="00F36175">
        <w:rPr>
          <w:rFonts w:ascii="Times New Roman" w:hAnsi="Times New Roman" w:cs="Times New Roman"/>
          <w:sz w:val="24"/>
          <w:szCs w:val="24"/>
          <w:lang w:val="en-US"/>
        </w:rPr>
        <w:t xml:space="preserve">example of a surfactant. </w:t>
      </w:r>
      <w:r w:rsidRPr="00A04CF6">
        <w:rPr>
          <w:rFonts w:ascii="Times New Roman" w:hAnsi="Times New Roman" w:cs="Times New Roman"/>
          <w:sz w:val="24"/>
          <w:szCs w:val="24"/>
          <w:lang w:val="en-US"/>
        </w:rPr>
        <w:t>Natural emulsifying agents are derived from plant and animal 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ssues and mostly in the form of hydrated lipophilic colloids. </w:t>
      </w:r>
      <w:r w:rsidRPr="00F36175">
        <w:rPr>
          <w:rFonts w:ascii="Times New Roman" w:hAnsi="Times New Roman" w:cs="Times New Roman"/>
          <w:sz w:val="24"/>
          <w:szCs w:val="24"/>
          <w:lang w:val="en-US"/>
        </w:rPr>
        <w:t xml:space="preserve">Other examples of emulsifiers include lecithin, mustard, soy lecithin, sodium phosphates, diacetyl tartaric acid ester of </w:t>
      </w:r>
      <w:proofErr w:type="spellStart"/>
      <w:r w:rsidRPr="00F36175">
        <w:rPr>
          <w:rFonts w:ascii="Times New Roman" w:hAnsi="Times New Roman" w:cs="Times New Roman"/>
          <w:sz w:val="24"/>
          <w:szCs w:val="24"/>
          <w:lang w:val="en-US"/>
        </w:rPr>
        <w:t>monoglyceride</w:t>
      </w:r>
      <w:proofErr w:type="spellEnd"/>
      <w:r w:rsidRPr="00F36175">
        <w:rPr>
          <w:rFonts w:ascii="Times New Roman" w:hAnsi="Times New Roman" w:cs="Times New Roman"/>
          <w:sz w:val="24"/>
          <w:szCs w:val="24"/>
          <w:lang w:val="en-US"/>
        </w:rPr>
        <w:t xml:space="preserve"> (DATEM), and sodium </w:t>
      </w:r>
      <w:proofErr w:type="spellStart"/>
      <w:r w:rsidRPr="00F36175">
        <w:rPr>
          <w:rFonts w:ascii="Times New Roman" w:hAnsi="Times New Roman" w:cs="Times New Roman"/>
          <w:sz w:val="24"/>
          <w:szCs w:val="24"/>
          <w:lang w:val="en-US"/>
        </w:rPr>
        <w:t>stearoyl</w:t>
      </w:r>
      <w:proofErr w:type="spellEnd"/>
      <w:r w:rsidRPr="00F36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6175">
        <w:rPr>
          <w:rFonts w:ascii="Times New Roman" w:hAnsi="Times New Roman" w:cs="Times New Roman"/>
          <w:sz w:val="24"/>
          <w:szCs w:val="24"/>
          <w:lang w:val="en-US"/>
        </w:rPr>
        <w:t>lactylate</w:t>
      </w:r>
      <w:proofErr w:type="spellEnd"/>
      <w:r w:rsidRPr="00F361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67D0" w:rsidRDefault="003D67D0">
      <w:bookmarkStart w:id="0" w:name="_GoBack"/>
      <w:bookmarkEnd w:id="0"/>
    </w:p>
    <w:sectPr w:rsidR="003D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2380A"/>
    <w:multiLevelType w:val="hybridMultilevel"/>
    <w:tmpl w:val="4F84E8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77301"/>
    <w:multiLevelType w:val="hybridMultilevel"/>
    <w:tmpl w:val="5DDAD54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99"/>
    <w:rsid w:val="00164D9D"/>
    <w:rsid w:val="003D67D0"/>
    <w:rsid w:val="00984899"/>
    <w:rsid w:val="00B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E815C-0425-433E-AF46-2A6F1B3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8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 Çil</dc:creator>
  <cp:keywords/>
  <dc:description/>
  <cp:lastModifiedBy>Güzin Çil</cp:lastModifiedBy>
  <cp:revision>1</cp:revision>
  <dcterms:created xsi:type="dcterms:W3CDTF">2018-07-19T13:34:00Z</dcterms:created>
  <dcterms:modified xsi:type="dcterms:W3CDTF">2018-07-19T13:34:00Z</dcterms:modified>
</cp:coreProperties>
</file>