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2A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</w:rPr>
        <w:t xml:space="preserve">Phase </w:t>
      </w:r>
      <w:r w:rsidRPr="00693EA8">
        <w:rPr>
          <w:b/>
          <w:bCs/>
          <w:sz w:val="24"/>
          <w:szCs w:val="24"/>
        </w:rPr>
        <w:t>Equilibrium</w:t>
      </w:r>
    </w:p>
    <w:p w:rsidR="0066592A" w:rsidRDefault="0066592A" w:rsidP="0066592A">
      <w:pPr>
        <w:spacing w:line="276" w:lineRule="auto"/>
        <w:jc w:val="both"/>
        <w:rPr>
          <w:sz w:val="24"/>
          <w:szCs w:val="24"/>
          <w:lang w:val="tr-TR"/>
        </w:rPr>
      </w:pPr>
    </w:p>
    <w:p w:rsidR="0066592A" w:rsidRPr="00761564" w:rsidRDefault="0066592A" w:rsidP="0066592A">
      <w:pPr>
        <w:spacing w:line="276" w:lineRule="auto"/>
        <w:jc w:val="both"/>
        <w:rPr>
          <w:sz w:val="24"/>
          <w:szCs w:val="24"/>
          <w:lang w:val="tr-TR"/>
        </w:rPr>
      </w:pPr>
      <w:proofErr w:type="spellStart"/>
      <w:r w:rsidRPr="00761564">
        <w:rPr>
          <w:sz w:val="24"/>
          <w:szCs w:val="24"/>
          <w:lang w:val="tr-TR"/>
        </w:rPr>
        <w:t>Important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criteria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for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phase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equilibrium</w:t>
      </w:r>
      <w:proofErr w:type="spellEnd"/>
      <w:r w:rsidRPr="00761564">
        <w:rPr>
          <w:sz w:val="24"/>
          <w:szCs w:val="24"/>
          <w:lang w:val="tr-TR"/>
        </w:rPr>
        <w:t xml:space="preserve">, </w:t>
      </w:r>
      <w:r w:rsidRPr="00761564">
        <w:rPr>
          <w:sz w:val="24"/>
          <w:szCs w:val="24"/>
          <w:lang w:val="el-GR"/>
        </w:rPr>
        <w:t>α</w:t>
      </w:r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and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r w:rsidRPr="00761564">
        <w:rPr>
          <w:sz w:val="24"/>
          <w:szCs w:val="24"/>
          <w:lang w:val="el-GR"/>
        </w:rPr>
        <w:t>β</w:t>
      </w:r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represent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different</w:t>
      </w:r>
      <w:proofErr w:type="spellEnd"/>
      <w:r w:rsidRPr="00761564">
        <w:rPr>
          <w:sz w:val="24"/>
          <w:szCs w:val="24"/>
          <w:lang w:val="tr-TR"/>
        </w:rPr>
        <w:t xml:space="preserve"> </w:t>
      </w:r>
      <w:proofErr w:type="spellStart"/>
      <w:r w:rsidRPr="00761564">
        <w:rPr>
          <w:sz w:val="24"/>
          <w:szCs w:val="24"/>
          <w:lang w:val="tr-TR"/>
        </w:rPr>
        <w:t>phases</w:t>
      </w:r>
      <w:proofErr w:type="spellEnd"/>
      <w:r w:rsidRPr="00761564">
        <w:rPr>
          <w:sz w:val="24"/>
          <w:szCs w:val="24"/>
          <w:lang w:val="tr-TR"/>
        </w:rPr>
        <w:t xml:space="preserve"> (at </w:t>
      </w:r>
      <w:proofErr w:type="spellStart"/>
      <w:r w:rsidRPr="00761564">
        <w:rPr>
          <w:sz w:val="24"/>
          <w:szCs w:val="24"/>
          <w:lang w:val="tr-TR"/>
        </w:rPr>
        <w:t>constant</w:t>
      </w:r>
      <w:proofErr w:type="spellEnd"/>
      <w:r w:rsidRPr="00761564">
        <w:rPr>
          <w:sz w:val="24"/>
          <w:szCs w:val="24"/>
          <w:lang w:val="tr-TR"/>
        </w:rPr>
        <w:t xml:space="preserve"> T </w:t>
      </w:r>
      <w:proofErr w:type="spellStart"/>
      <w:r w:rsidRPr="00761564">
        <w:rPr>
          <w:sz w:val="24"/>
          <w:szCs w:val="24"/>
          <w:lang w:val="tr-TR"/>
        </w:rPr>
        <w:t>and</w:t>
      </w:r>
      <w:proofErr w:type="spellEnd"/>
      <w:r w:rsidRPr="00761564">
        <w:rPr>
          <w:sz w:val="24"/>
          <w:szCs w:val="24"/>
          <w:lang w:val="tr-TR"/>
        </w:rPr>
        <w:t xml:space="preserve"> P):</w:t>
      </w:r>
    </w:p>
    <w:p w:rsidR="0066592A" w:rsidRDefault="0066592A" w:rsidP="0066592A">
      <w:pPr>
        <w:spacing w:line="276" w:lineRule="auto"/>
        <w:jc w:val="both"/>
        <w:rPr>
          <w:sz w:val="24"/>
          <w:szCs w:val="24"/>
          <w:lang w:val="tr-TR"/>
        </w:rPr>
      </w:pPr>
    </w:p>
    <w:p w:rsidR="0066592A" w:rsidRPr="00D6333B" w:rsidRDefault="0066592A" w:rsidP="0066592A">
      <w:pPr>
        <w:spacing w:line="276" w:lineRule="auto"/>
        <w:ind w:left="2832"/>
        <w:rPr>
          <w:sz w:val="24"/>
          <w:szCs w:val="24"/>
        </w:rPr>
      </w:pPr>
      <w:r w:rsidRPr="00D6333B">
        <w:rPr>
          <w:sz w:val="24"/>
          <w:szCs w:val="24"/>
        </w:rPr>
        <w:t xml:space="preserve">         </w:t>
      </w:r>
      <w:r w:rsidRPr="00761564">
        <w:rPr>
          <w:noProof/>
          <w:sz w:val="24"/>
          <w:szCs w:val="24"/>
          <w:lang w:val="de-DE"/>
        </w:rPr>
        <w:drawing>
          <wp:inline distT="0" distB="0" distL="0" distR="0" wp14:anchorId="2786B613" wp14:editId="7603C859">
            <wp:extent cx="1604075" cy="48416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027"/>
                    <a:stretch/>
                  </pic:blipFill>
                  <pic:spPr bwMode="auto">
                    <a:xfrm>
                      <a:off x="0" y="0"/>
                      <a:ext cx="1634481" cy="49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92A" w:rsidRPr="00D6333B" w:rsidRDefault="0066592A" w:rsidP="0066592A">
      <w:pPr>
        <w:spacing w:line="276" w:lineRule="auto"/>
        <w:ind w:left="2832"/>
        <w:jc w:val="both"/>
        <w:rPr>
          <w:sz w:val="24"/>
          <w:szCs w:val="24"/>
        </w:rPr>
      </w:pPr>
    </w:p>
    <w:p w:rsidR="0066592A" w:rsidRDefault="0066592A" w:rsidP="0066592A">
      <w:pPr>
        <w:spacing w:line="276" w:lineRule="auto"/>
        <w:jc w:val="both"/>
        <w:rPr>
          <w:b/>
          <w:bCs/>
          <w:sz w:val="24"/>
          <w:szCs w:val="24"/>
        </w:rPr>
      </w:pPr>
      <w:r w:rsidRPr="00761564">
        <w:rPr>
          <w:sz w:val="24"/>
          <w:szCs w:val="24"/>
        </w:rPr>
        <w:t xml:space="preserve">The slope of any coexistence curves, </w:t>
      </w:r>
      <w:proofErr w:type="spellStart"/>
      <w:r w:rsidRPr="00761564">
        <w:rPr>
          <w:sz w:val="24"/>
          <w:szCs w:val="24"/>
        </w:rPr>
        <w:t>dP</w:t>
      </w:r>
      <w:proofErr w:type="spellEnd"/>
      <w:r w:rsidRPr="00761564">
        <w:rPr>
          <w:sz w:val="24"/>
          <w:szCs w:val="24"/>
        </w:rPr>
        <w:t>/</w:t>
      </w:r>
      <w:proofErr w:type="gramStart"/>
      <w:r w:rsidRPr="00761564">
        <w:rPr>
          <w:sz w:val="24"/>
          <w:szCs w:val="24"/>
        </w:rPr>
        <w:t>dT  gives</w:t>
      </w:r>
      <w:proofErr w:type="gramEnd"/>
      <w:r w:rsidRPr="00761564">
        <w:rPr>
          <w:sz w:val="24"/>
          <w:szCs w:val="24"/>
        </w:rPr>
        <w:t xml:space="preserve"> </w:t>
      </w:r>
      <w:proofErr w:type="spellStart"/>
      <w:r w:rsidRPr="00761564">
        <w:rPr>
          <w:b/>
          <w:bCs/>
          <w:sz w:val="24"/>
          <w:szCs w:val="24"/>
        </w:rPr>
        <w:t>Clapeyron</w:t>
      </w:r>
      <w:proofErr w:type="spellEnd"/>
      <w:r w:rsidRPr="00761564">
        <w:rPr>
          <w:b/>
          <w:bCs/>
          <w:sz w:val="24"/>
          <w:szCs w:val="24"/>
        </w:rPr>
        <w:t xml:space="preserve"> equation</w:t>
      </w:r>
      <w:r>
        <w:rPr>
          <w:b/>
          <w:bCs/>
          <w:sz w:val="24"/>
          <w:szCs w:val="24"/>
        </w:rPr>
        <w:t>,</w:t>
      </w:r>
    </w:p>
    <w:p w:rsidR="0066592A" w:rsidRDefault="0066592A" w:rsidP="0066592A">
      <w:pPr>
        <w:spacing w:line="276" w:lineRule="auto"/>
        <w:jc w:val="both"/>
        <w:rPr>
          <w:b/>
          <w:bCs/>
          <w:sz w:val="24"/>
          <w:szCs w:val="24"/>
        </w:rPr>
      </w:pPr>
    </w:p>
    <w:p w:rsidR="0066592A" w:rsidRDefault="0066592A" w:rsidP="0066592A">
      <w:pPr>
        <w:spacing w:line="276" w:lineRule="auto"/>
        <w:jc w:val="center"/>
        <w:rPr>
          <w:sz w:val="24"/>
          <w:szCs w:val="24"/>
        </w:rPr>
      </w:pPr>
      <w:r w:rsidRPr="00761564">
        <w:rPr>
          <w:noProof/>
          <w:sz w:val="24"/>
          <w:szCs w:val="24"/>
        </w:rPr>
        <w:drawing>
          <wp:inline distT="0" distB="0" distL="0" distR="0" wp14:anchorId="0A29E92F" wp14:editId="04E36474">
            <wp:extent cx="1697065" cy="486683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254"/>
                    <a:stretch/>
                  </pic:blipFill>
                  <pic:spPr bwMode="auto">
                    <a:xfrm>
                      <a:off x="0" y="0"/>
                      <a:ext cx="1762975" cy="50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</w:rPr>
      </w:pPr>
    </w:p>
    <w:p w:rsidR="0066592A" w:rsidRDefault="0066592A" w:rsidP="0066592A">
      <w:pPr>
        <w:spacing w:line="276" w:lineRule="auto"/>
        <w:rPr>
          <w:sz w:val="24"/>
          <w:szCs w:val="24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  <w:r w:rsidRPr="00D6333B">
        <w:rPr>
          <w:sz w:val="24"/>
          <w:szCs w:val="24"/>
          <w:lang w:val="tr-TR"/>
        </w:rPr>
        <w:t xml:space="preserve">Application of </w:t>
      </w:r>
      <w:proofErr w:type="spellStart"/>
      <w:r w:rsidRPr="00D6333B">
        <w:rPr>
          <w:sz w:val="24"/>
          <w:szCs w:val="24"/>
          <w:lang w:val="tr-TR"/>
        </w:rPr>
        <w:t>Clapeyron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eqn</w:t>
      </w:r>
      <w:proofErr w:type="spellEnd"/>
      <w:r w:rsidRPr="00D6333B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D6333B">
        <w:rPr>
          <w:sz w:val="24"/>
          <w:szCs w:val="24"/>
          <w:lang w:val="tr-TR"/>
        </w:rPr>
        <w:t>to</w:t>
      </w:r>
      <w:proofErr w:type="spellEnd"/>
      <w:proofErr w:type="gram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the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vaporization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curve-the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change</w:t>
      </w:r>
      <w:proofErr w:type="spellEnd"/>
      <w:r w:rsidRPr="00D6333B">
        <w:rPr>
          <w:sz w:val="24"/>
          <w:szCs w:val="24"/>
          <w:lang w:val="tr-TR"/>
        </w:rPr>
        <w:t xml:space="preserve"> of </w:t>
      </w:r>
      <w:proofErr w:type="spellStart"/>
      <w:r w:rsidRPr="00D6333B">
        <w:rPr>
          <w:sz w:val="24"/>
          <w:szCs w:val="24"/>
          <w:lang w:val="tr-TR"/>
        </w:rPr>
        <w:t>P</w:t>
      </w:r>
      <w:r w:rsidRPr="00D6333B">
        <w:rPr>
          <w:sz w:val="24"/>
          <w:szCs w:val="24"/>
          <w:vertAlign w:val="superscript"/>
          <w:lang w:val="tr-TR"/>
        </w:rPr>
        <w:t>vap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with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temperature</w:t>
      </w:r>
      <w:proofErr w:type="spellEnd"/>
      <w:r w:rsidRPr="00D6333B">
        <w:rPr>
          <w:sz w:val="24"/>
          <w:szCs w:val="24"/>
          <w:lang w:val="tr-TR"/>
        </w:rPr>
        <w:t xml:space="preserve">, </w:t>
      </w:r>
      <w:proofErr w:type="spellStart"/>
      <w:r w:rsidRPr="00D6333B">
        <w:rPr>
          <w:b/>
          <w:bCs/>
          <w:sz w:val="24"/>
          <w:szCs w:val="24"/>
          <w:lang w:val="tr-TR"/>
        </w:rPr>
        <w:t>Clausius-Clapeyron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b/>
          <w:bCs/>
          <w:sz w:val="24"/>
          <w:szCs w:val="24"/>
          <w:lang w:val="tr-TR"/>
        </w:rPr>
        <w:t>equation</w:t>
      </w:r>
      <w:proofErr w:type="spellEnd"/>
      <w:r w:rsidRPr="00D6333B">
        <w:rPr>
          <w:sz w:val="24"/>
          <w:szCs w:val="24"/>
          <w:lang w:val="tr-TR"/>
        </w:rPr>
        <w:t>,</w:t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 w:rsidRPr="00D6333B">
        <w:rPr>
          <w:noProof/>
          <w:sz w:val="24"/>
          <w:szCs w:val="24"/>
          <w:lang w:val="tr-TR"/>
        </w:rPr>
        <w:drawing>
          <wp:inline distT="0" distB="0" distL="0" distR="0" wp14:anchorId="22916858" wp14:editId="3F5CC645">
            <wp:extent cx="1673817" cy="600926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396"/>
                    <a:stretch/>
                  </pic:blipFill>
                  <pic:spPr bwMode="auto">
                    <a:xfrm>
                      <a:off x="0" y="0"/>
                      <a:ext cx="1702110" cy="611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Pr="00D6333B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  <w:proofErr w:type="spellStart"/>
      <w:r w:rsidRPr="00D6333B">
        <w:rPr>
          <w:sz w:val="24"/>
          <w:szCs w:val="24"/>
          <w:lang w:val="tr-TR"/>
        </w:rPr>
        <w:t>Integrated</w:t>
      </w:r>
      <w:proofErr w:type="spellEnd"/>
      <w:r w:rsidRPr="00D6333B">
        <w:rPr>
          <w:sz w:val="24"/>
          <w:szCs w:val="24"/>
          <w:lang w:val="tr-TR"/>
        </w:rPr>
        <w:t xml:space="preserve"> form of </w:t>
      </w:r>
      <w:proofErr w:type="spellStart"/>
      <w:r w:rsidRPr="00D6333B">
        <w:rPr>
          <w:sz w:val="24"/>
          <w:szCs w:val="24"/>
          <w:lang w:val="tr-TR"/>
        </w:rPr>
        <w:t>Clausius-Clapeyron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eqn</w:t>
      </w:r>
      <w:proofErr w:type="spellEnd"/>
      <w:r w:rsidRPr="00D6333B">
        <w:rPr>
          <w:sz w:val="24"/>
          <w:szCs w:val="24"/>
          <w:lang w:val="tr-TR"/>
        </w:rPr>
        <w:t xml:space="preserve">. </w:t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 w:rsidRPr="00D6333B">
        <w:rPr>
          <w:noProof/>
          <w:sz w:val="24"/>
          <w:szCs w:val="24"/>
        </w:rPr>
        <w:drawing>
          <wp:inline distT="0" distB="0" distL="0" distR="0" wp14:anchorId="652F17C9" wp14:editId="5AB0683D">
            <wp:extent cx="2023389" cy="451161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7504" cy="46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  <w:proofErr w:type="spellStart"/>
      <w:r w:rsidRPr="00D6333B">
        <w:rPr>
          <w:sz w:val="24"/>
          <w:szCs w:val="24"/>
          <w:lang w:val="tr-TR"/>
        </w:rPr>
        <w:t>Indefinite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integration</w:t>
      </w:r>
      <w:proofErr w:type="spellEnd"/>
      <w:r w:rsidRPr="00D6333B">
        <w:rPr>
          <w:sz w:val="24"/>
          <w:szCs w:val="24"/>
          <w:lang w:val="tr-TR"/>
        </w:rPr>
        <w:t xml:space="preserve"> of </w:t>
      </w:r>
      <w:proofErr w:type="spellStart"/>
      <w:r w:rsidRPr="00D6333B">
        <w:rPr>
          <w:sz w:val="24"/>
          <w:szCs w:val="24"/>
          <w:lang w:val="tr-TR"/>
        </w:rPr>
        <w:t>Clausius-Clapeyron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eqn</w:t>
      </w:r>
      <w:proofErr w:type="spellEnd"/>
      <w:r w:rsidRPr="00D6333B">
        <w:rPr>
          <w:sz w:val="24"/>
          <w:szCs w:val="24"/>
          <w:lang w:val="tr-TR"/>
        </w:rPr>
        <w:t xml:space="preserve">. </w:t>
      </w:r>
      <w:proofErr w:type="spellStart"/>
      <w:proofErr w:type="gramStart"/>
      <w:r w:rsidRPr="00D6333B">
        <w:rPr>
          <w:sz w:val="24"/>
          <w:szCs w:val="24"/>
          <w:lang w:val="tr-TR"/>
        </w:rPr>
        <w:t>gives</w:t>
      </w:r>
      <w:proofErr w:type="spellEnd"/>
      <w:proofErr w:type="gramEnd"/>
      <w:r w:rsidRPr="00D6333B">
        <w:rPr>
          <w:sz w:val="24"/>
          <w:szCs w:val="24"/>
          <w:lang w:val="tr-TR"/>
        </w:rPr>
        <w:t>,</w:t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 w:rsidRPr="00D6333B">
        <w:rPr>
          <w:noProof/>
          <w:sz w:val="24"/>
          <w:szCs w:val="24"/>
          <w:lang w:val="tr-TR"/>
        </w:rPr>
        <w:drawing>
          <wp:inline distT="0" distB="0" distL="0" distR="0" wp14:anchorId="3C9BCD6B" wp14:editId="402452DE">
            <wp:extent cx="2193010" cy="553266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426"/>
                    <a:stretch/>
                  </pic:blipFill>
                  <pic:spPr bwMode="auto">
                    <a:xfrm>
                      <a:off x="0" y="0"/>
                      <a:ext cx="2246261" cy="5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Pr="00D6333B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 w:rsidRPr="00D6333B">
        <w:rPr>
          <w:noProof/>
          <w:sz w:val="24"/>
          <w:szCs w:val="24"/>
          <w:lang w:val="tr-TR"/>
        </w:rPr>
        <w:drawing>
          <wp:inline distT="0" distB="0" distL="0" distR="0" wp14:anchorId="4C8BF60D" wp14:editId="306B1DAD">
            <wp:extent cx="2967925" cy="321992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2370" cy="33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  <w:proofErr w:type="spellStart"/>
      <w:r w:rsidRPr="00D6333B">
        <w:rPr>
          <w:sz w:val="24"/>
          <w:szCs w:val="24"/>
          <w:lang w:val="tr-TR"/>
        </w:rPr>
        <w:t>More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commonly</w:t>
      </w:r>
      <w:proofErr w:type="spellEnd"/>
      <w:r w:rsidRPr="00D6333B">
        <w:rPr>
          <w:sz w:val="24"/>
          <w:szCs w:val="24"/>
          <w:lang w:val="tr-TR"/>
        </w:rPr>
        <w:t xml:space="preserve">, </w:t>
      </w:r>
      <w:proofErr w:type="spellStart"/>
      <w:r w:rsidRPr="00D6333B">
        <w:rPr>
          <w:b/>
          <w:bCs/>
          <w:sz w:val="24"/>
          <w:szCs w:val="24"/>
          <w:lang w:val="tr-TR"/>
        </w:rPr>
        <w:t>Antoine</w:t>
      </w:r>
      <w:proofErr w:type="spellEnd"/>
      <w:r w:rsidRPr="00D6333B">
        <w:rPr>
          <w:b/>
          <w:bCs/>
          <w:sz w:val="24"/>
          <w:szCs w:val="24"/>
          <w:lang w:val="tr-TR"/>
        </w:rPr>
        <w:t xml:space="preserve"> </w:t>
      </w:r>
      <w:proofErr w:type="spellStart"/>
      <w:r w:rsidRPr="00D6333B">
        <w:rPr>
          <w:b/>
          <w:bCs/>
          <w:sz w:val="24"/>
          <w:szCs w:val="24"/>
          <w:lang w:val="tr-TR"/>
        </w:rPr>
        <w:t>equation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used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to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relate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temperature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to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vapor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pressures</w:t>
      </w:r>
      <w:proofErr w:type="spellEnd"/>
      <w:r w:rsidRPr="00D6333B">
        <w:rPr>
          <w:sz w:val="24"/>
          <w:szCs w:val="24"/>
          <w:lang w:val="tr-TR"/>
        </w:rPr>
        <w:t xml:space="preserve">, </w:t>
      </w:r>
      <w:proofErr w:type="spellStart"/>
      <w:r w:rsidRPr="00D6333B">
        <w:rPr>
          <w:sz w:val="24"/>
          <w:szCs w:val="24"/>
          <w:lang w:val="tr-TR"/>
        </w:rPr>
        <w:t>ranging</w:t>
      </w:r>
      <w:proofErr w:type="spellEnd"/>
      <w:r w:rsidRPr="00D6333B">
        <w:rPr>
          <w:sz w:val="24"/>
          <w:szCs w:val="24"/>
          <w:lang w:val="tr-TR"/>
        </w:rPr>
        <w:t xml:space="preserve"> </w:t>
      </w:r>
      <w:proofErr w:type="spellStart"/>
      <w:r w:rsidRPr="00D6333B">
        <w:rPr>
          <w:sz w:val="24"/>
          <w:szCs w:val="24"/>
          <w:lang w:val="tr-TR"/>
        </w:rPr>
        <w:t>from</w:t>
      </w:r>
      <w:proofErr w:type="spellEnd"/>
      <w:r w:rsidRPr="00D6333B">
        <w:rPr>
          <w:sz w:val="24"/>
          <w:szCs w:val="24"/>
          <w:lang w:val="tr-TR"/>
        </w:rPr>
        <w:t xml:space="preserve"> 1 </w:t>
      </w:r>
      <w:proofErr w:type="spellStart"/>
      <w:r w:rsidRPr="00D6333B">
        <w:rPr>
          <w:sz w:val="24"/>
          <w:szCs w:val="24"/>
          <w:lang w:val="tr-TR"/>
        </w:rPr>
        <w:t>to</w:t>
      </w:r>
      <w:proofErr w:type="spellEnd"/>
      <w:r w:rsidRPr="00D6333B">
        <w:rPr>
          <w:sz w:val="24"/>
          <w:szCs w:val="24"/>
          <w:lang w:val="tr-TR"/>
        </w:rPr>
        <w:t xml:space="preserve"> 200 </w:t>
      </w:r>
      <w:proofErr w:type="spellStart"/>
      <w:r w:rsidRPr="00D6333B">
        <w:rPr>
          <w:sz w:val="24"/>
          <w:szCs w:val="24"/>
          <w:lang w:val="tr-TR"/>
        </w:rPr>
        <w:t>kPa</w:t>
      </w:r>
      <w:proofErr w:type="spellEnd"/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66592A">
      <w:pPr>
        <w:spacing w:line="276" w:lineRule="auto"/>
        <w:jc w:val="center"/>
        <w:rPr>
          <w:sz w:val="24"/>
          <w:szCs w:val="24"/>
          <w:lang w:val="tr-TR"/>
        </w:rPr>
      </w:pPr>
      <w:r w:rsidRPr="00D6333B">
        <w:rPr>
          <w:noProof/>
          <w:sz w:val="24"/>
          <w:szCs w:val="24"/>
        </w:rPr>
        <w:lastRenderedPageBreak/>
        <w:drawing>
          <wp:inline distT="0" distB="0" distL="0" distR="0" wp14:anchorId="185E3E3B" wp14:editId="728622BD">
            <wp:extent cx="1906291" cy="497293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0089" cy="50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92A" w:rsidRDefault="0066592A" w:rsidP="0066592A">
      <w:pPr>
        <w:spacing w:line="276" w:lineRule="auto"/>
        <w:rPr>
          <w:sz w:val="24"/>
          <w:szCs w:val="24"/>
          <w:lang w:val="tr-TR"/>
        </w:rPr>
      </w:pPr>
    </w:p>
    <w:p w:rsidR="0066592A" w:rsidRDefault="0066592A" w:rsidP="004C26B7">
      <w:pPr>
        <w:jc w:val="center"/>
        <w:rPr>
          <w:b/>
          <w:sz w:val="24"/>
          <w:szCs w:val="24"/>
        </w:rPr>
      </w:pPr>
    </w:p>
    <w:p w:rsidR="00A234C4" w:rsidRDefault="004C26B7" w:rsidP="004C26B7">
      <w:pPr>
        <w:jc w:val="center"/>
        <w:rPr>
          <w:b/>
          <w:sz w:val="24"/>
          <w:szCs w:val="24"/>
        </w:rPr>
      </w:pPr>
      <w:r w:rsidRPr="00625959">
        <w:rPr>
          <w:b/>
          <w:sz w:val="24"/>
          <w:szCs w:val="24"/>
        </w:rPr>
        <w:t>Stability Criteria</w:t>
      </w:r>
    </w:p>
    <w:p w:rsidR="00B97C9D" w:rsidRDefault="00B97C9D" w:rsidP="00333624">
      <w:pPr>
        <w:spacing w:line="276" w:lineRule="auto"/>
        <w:rPr>
          <w:b/>
          <w:sz w:val="24"/>
          <w:szCs w:val="24"/>
        </w:rPr>
      </w:pPr>
    </w:p>
    <w:p w:rsidR="00B97C9D" w:rsidRDefault="00B97C9D" w:rsidP="00333624">
      <w:pPr>
        <w:spacing w:line="276" w:lineRule="auto"/>
        <w:rPr>
          <w:b/>
          <w:sz w:val="24"/>
          <w:szCs w:val="24"/>
        </w:rPr>
      </w:pPr>
    </w:p>
    <w:p w:rsidR="00CC4345" w:rsidRDefault="00CC4345" w:rsidP="0033362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Derivation of the stability</w:t>
      </w:r>
      <w:r w:rsidR="00C301D4">
        <w:rPr>
          <w:sz w:val="24"/>
          <w:szCs w:val="24"/>
        </w:rPr>
        <w:t xml:space="preserve"> criteria</w:t>
      </w:r>
      <w:r>
        <w:rPr>
          <w:sz w:val="24"/>
          <w:szCs w:val="24"/>
        </w:rPr>
        <w:t xml:space="preserve"> for ther</w:t>
      </w:r>
      <w:r w:rsidR="00C301D4">
        <w:rPr>
          <w:sz w:val="24"/>
          <w:szCs w:val="24"/>
        </w:rPr>
        <w:t xml:space="preserve">modynamic systems </w:t>
      </w:r>
      <w:r w:rsidR="004D5DF9">
        <w:rPr>
          <w:sz w:val="24"/>
          <w:szCs w:val="24"/>
        </w:rPr>
        <w:t>is important to understand if we are dealing with stable, neutral, metastable or unstable systems.</w:t>
      </w:r>
    </w:p>
    <w:p w:rsidR="004D5DF9" w:rsidRDefault="004D5DF9" w:rsidP="00333624">
      <w:pPr>
        <w:spacing w:line="276" w:lineRule="auto"/>
        <w:rPr>
          <w:sz w:val="24"/>
          <w:szCs w:val="24"/>
        </w:rPr>
      </w:pPr>
    </w:p>
    <w:p w:rsidR="00333624" w:rsidRDefault="004D5DF9" w:rsidP="0033362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Below are the various equilibrium states that differ according to the stability.</w:t>
      </w:r>
    </w:p>
    <w:p w:rsidR="00333624" w:rsidRDefault="00333624" w:rsidP="004D5DF9">
      <w:pPr>
        <w:rPr>
          <w:sz w:val="24"/>
          <w:szCs w:val="24"/>
        </w:rPr>
      </w:pPr>
    </w:p>
    <w:p w:rsidR="00333624" w:rsidRDefault="00333624" w:rsidP="004D5DF9">
      <w:pPr>
        <w:rPr>
          <w:sz w:val="24"/>
          <w:szCs w:val="24"/>
        </w:rPr>
      </w:pPr>
    </w:p>
    <w:p w:rsidR="00333624" w:rsidRDefault="00333624" w:rsidP="00333624">
      <w:pPr>
        <w:jc w:val="center"/>
        <w:rPr>
          <w:sz w:val="24"/>
          <w:szCs w:val="24"/>
        </w:rPr>
      </w:pPr>
      <w:r w:rsidRPr="00333624">
        <w:rPr>
          <w:sz w:val="24"/>
          <w:szCs w:val="24"/>
        </w:rPr>
        <w:drawing>
          <wp:inline distT="0" distB="0" distL="0" distR="0" wp14:anchorId="2B3F2CC4" wp14:editId="3ED1D9BC">
            <wp:extent cx="3378630" cy="326644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27382"/>
                    <a:stretch/>
                  </pic:blipFill>
                  <pic:spPr bwMode="auto">
                    <a:xfrm>
                      <a:off x="0" y="0"/>
                      <a:ext cx="3383398" cy="327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624" w:rsidRDefault="00333624" w:rsidP="00333624">
      <w:pPr>
        <w:rPr>
          <w:sz w:val="24"/>
          <w:szCs w:val="24"/>
        </w:rPr>
      </w:pPr>
    </w:p>
    <w:p w:rsidR="00333624" w:rsidRDefault="00333624" w:rsidP="00333624">
      <w:pPr>
        <w:rPr>
          <w:sz w:val="24"/>
          <w:szCs w:val="24"/>
        </w:rPr>
      </w:pPr>
      <w:r>
        <w:rPr>
          <w:sz w:val="24"/>
          <w:szCs w:val="24"/>
        </w:rPr>
        <w:t xml:space="preserve">According to the first figure, </w:t>
      </w:r>
      <w:r w:rsidR="00B97C9D">
        <w:rPr>
          <w:sz w:val="24"/>
          <w:szCs w:val="24"/>
        </w:rPr>
        <w:t xml:space="preserve">for a system </w:t>
      </w:r>
      <w:r w:rsidR="007F1A9B">
        <w:rPr>
          <w:sz w:val="24"/>
          <w:szCs w:val="24"/>
        </w:rPr>
        <w:t>at</w:t>
      </w:r>
      <w:r w:rsidR="00B97C9D">
        <w:rPr>
          <w:sz w:val="24"/>
          <w:szCs w:val="24"/>
        </w:rPr>
        <w:t xml:space="preserve"> a </w:t>
      </w:r>
      <w:r w:rsidR="00B97C9D" w:rsidRPr="007F1A9B">
        <w:rPr>
          <w:i/>
          <w:sz w:val="24"/>
          <w:szCs w:val="24"/>
        </w:rPr>
        <w:t>stable equilibrium</w:t>
      </w:r>
      <w:r w:rsidR="00B97C9D">
        <w:rPr>
          <w:sz w:val="24"/>
          <w:szCs w:val="24"/>
        </w:rPr>
        <w:t xml:space="preserve">, its energy would be minimum. As it moves away from equilibrium, its energy increases. First and second derivatives can </w:t>
      </w:r>
      <w:r w:rsidR="00D27AF4">
        <w:rPr>
          <w:sz w:val="24"/>
          <w:szCs w:val="24"/>
        </w:rPr>
        <w:t>be defined as follows,</w:t>
      </w:r>
    </w:p>
    <w:p w:rsidR="007F1A9B" w:rsidRDefault="007F1A9B" w:rsidP="00333624">
      <w:pPr>
        <w:rPr>
          <w:sz w:val="24"/>
          <w:szCs w:val="24"/>
        </w:rPr>
      </w:pPr>
    </w:p>
    <w:p w:rsidR="007F1A9B" w:rsidRPr="007F1A9B" w:rsidRDefault="007F1A9B" w:rsidP="00333624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∂E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∂</m:t>
              </m:r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z</m:t>
              </m:r>
            </m:den>
          </m:f>
          <m:r>
            <w:rPr>
              <w:rFonts w:ascii="Cambria Math" w:hAnsi="Cambria Math"/>
              <w:sz w:val="24"/>
              <w:szCs w:val="24"/>
              <w:highlight w:val="green"/>
            </w:rPr>
            <m:t xml:space="preserve">=0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highlight w:val="green"/>
            </w:rPr>
            <m:t>&gt;0         at z=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highlight w:val="green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  <w:highlight w:val="green"/>
                </w:rPr>
                <m:t>z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  <w:highlight w:val="green"/>
                </w:rPr>
                <m:t>*</m:t>
              </m:r>
            </m:sup>
          </m:sSup>
        </m:oMath>
      </m:oMathPara>
    </w:p>
    <w:p w:rsidR="007F1A9B" w:rsidRDefault="007F1A9B" w:rsidP="00333624">
      <w:pPr>
        <w:rPr>
          <w:sz w:val="24"/>
          <w:szCs w:val="24"/>
        </w:rPr>
      </w:pPr>
    </w:p>
    <w:p w:rsidR="00B97C9D" w:rsidRDefault="00B97C9D" w:rsidP="00333624">
      <w:pPr>
        <w:rPr>
          <w:sz w:val="24"/>
          <w:szCs w:val="24"/>
        </w:rPr>
      </w:pPr>
    </w:p>
    <w:p w:rsidR="00B97C9D" w:rsidRDefault="007F1A9B" w:rsidP="00333624">
      <w:pPr>
        <w:rPr>
          <w:sz w:val="24"/>
          <w:szCs w:val="24"/>
        </w:rPr>
      </w:pPr>
      <w:r>
        <w:rPr>
          <w:sz w:val="24"/>
          <w:szCs w:val="24"/>
        </w:rPr>
        <w:t xml:space="preserve">For a system at neutral equilibrium,  </w:t>
      </w:r>
    </w:p>
    <w:p w:rsidR="007F1A9B" w:rsidRDefault="007F1A9B" w:rsidP="00333624">
      <w:pPr>
        <w:rPr>
          <w:sz w:val="24"/>
          <w:szCs w:val="24"/>
        </w:rPr>
      </w:pPr>
    </w:p>
    <w:p w:rsidR="007F1A9B" w:rsidRPr="007F1A9B" w:rsidRDefault="007F1A9B" w:rsidP="00333624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cya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∂E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∂z</m:t>
              </m:r>
            </m:den>
          </m:f>
          <m:r>
            <w:rPr>
              <w:rFonts w:ascii="Cambria Math" w:hAnsi="Cambria Math"/>
              <w:sz w:val="24"/>
              <w:szCs w:val="24"/>
              <w:highlight w:val="cyan"/>
            </w:rPr>
            <m:t xml:space="preserve">=0             </m:t>
          </m:r>
          <m:r>
            <w:rPr>
              <w:rFonts w:ascii="Cambria Math" w:hAnsi="Cambria Math"/>
              <w:sz w:val="24"/>
              <w:szCs w:val="24"/>
              <w:highlight w:val="cyan"/>
            </w:rPr>
            <m:t>for all z</m:t>
          </m:r>
        </m:oMath>
      </m:oMathPara>
    </w:p>
    <w:p w:rsidR="007F1A9B" w:rsidRDefault="007F1A9B" w:rsidP="00333624">
      <w:pPr>
        <w:rPr>
          <w:rFonts w:eastAsiaTheme="minorEastAsia"/>
          <w:sz w:val="24"/>
          <w:szCs w:val="24"/>
        </w:rPr>
      </w:pPr>
    </w:p>
    <w:p w:rsidR="00D27AF4" w:rsidRDefault="007F1A9B" w:rsidP="0033362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For a system at metastable equilibrium, the ball </w:t>
      </w:r>
      <w:r w:rsidR="005417D2">
        <w:rPr>
          <w:rFonts w:eastAsiaTheme="minorEastAsia"/>
          <w:sz w:val="24"/>
          <w:szCs w:val="24"/>
        </w:rPr>
        <w:t xml:space="preserve">would </w:t>
      </w:r>
      <w:r w:rsidR="00D27AF4">
        <w:rPr>
          <w:rFonts w:eastAsiaTheme="minorEastAsia"/>
          <w:sz w:val="24"/>
          <w:szCs w:val="24"/>
        </w:rPr>
        <w:t>can change its initial position in case of a large disturbance into a state of lower energy,</w:t>
      </w:r>
    </w:p>
    <w:p w:rsidR="00D27AF4" w:rsidRDefault="00D27AF4" w:rsidP="00333624">
      <w:pPr>
        <w:rPr>
          <w:rFonts w:eastAsiaTheme="minorEastAsia"/>
          <w:sz w:val="24"/>
          <w:szCs w:val="24"/>
        </w:rPr>
      </w:pPr>
    </w:p>
    <w:p w:rsidR="00D27AF4" w:rsidRPr="00D27AF4" w:rsidRDefault="00D27AF4" w:rsidP="00333624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magenta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magenta"/>
                </w:rPr>
                <m:t>∂E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magenta"/>
                </w:rPr>
                <m:t>∂z</m:t>
              </m:r>
            </m:den>
          </m:f>
          <m:r>
            <w:rPr>
              <w:rFonts w:ascii="Cambria Math" w:hAnsi="Cambria Math"/>
              <w:sz w:val="24"/>
              <w:szCs w:val="24"/>
              <w:highlight w:val="magenta"/>
            </w:rPr>
            <m:t xml:space="preserve">=0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magent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magent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magenta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magenta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highlight w:val="magenta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magenta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magent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magenta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magenta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highlight w:val="magenta"/>
            </w:rPr>
            <m:t>&gt;0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       </m:t>
          </m:r>
        </m:oMath>
      </m:oMathPara>
    </w:p>
    <w:p w:rsidR="00D27AF4" w:rsidRDefault="00D27AF4" w:rsidP="00333624">
      <w:pPr>
        <w:rPr>
          <w:rFonts w:eastAsiaTheme="minorEastAsia"/>
          <w:sz w:val="24"/>
          <w:szCs w:val="24"/>
        </w:rPr>
      </w:pPr>
    </w:p>
    <w:p w:rsidR="00D27AF4" w:rsidRDefault="00D27AF4" w:rsidP="0033362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For a system at unstable equilibrium, a small </w:t>
      </w:r>
      <w:r>
        <w:rPr>
          <w:rFonts w:eastAsiaTheme="minorEastAsia"/>
          <w:sz w:val="24"/>
          <w:szCs w:val="24"/>
        </w:rPr>
        <w:t>disturbance</w:t>
      </w:r>
      <w:r>
        <w:rPr>
          <w:rFonts w:eastAsiaTheme="minorEastAsia"/>
          <w:sz w:val="24"/>
          <w:szCs w:val="24"/>
        </w:rPr>
        <w:t xml:space="preserve"> can change the initial position of the ball </w:t>
      </w:r>
      <w:r>
        <w:rPr>
          <w:rFonts w:eastAsiaTheme="minorEastAsia"/>
          <w:sz w:val="24"/>
          <w:szCs w:val="24"/>
        </w:rPr>
        <w:t>into a state of lower energy</w:t>
      </w:r>
      <w:r>
        <w:rPr>
          <w:rFonts w:eastAsiaTheme="minorEastAsia"/>
          <w:sz w:val="24"/>
          <w:szCs w:val="24"/>
        </w:rPr>
        <w:t>,</w:t>
      </w:r>
    </w:p>
    <w:p w:rsidR="00D27AF4" w:rsidRDefault="00D27AF4" w:rsidP="00333624">
      <w:pPr>
        <w:rPr>
          <w:rFonts w:eastAsiaTheme="minorEastAsia"/>
          <w:sz w:val="24"/>
          <w:szCs w:val="24"/>
        </w:rPr>
      </w:pPr>
    </w:p>
    <w:p w:rsidR="00D27AF4" w:rsidRDefault="00D27AF4" w:rsidP="00333624">
      <w:pPr>
        <w:rPr>
          <w:rFonts w:eastAsiaTheme="minorEastAsia"/>
          <w:sz w:val="24"/>
          <w:szCs w:val="24"/>
        </w:rPr>
      </w:pPr>
    </w:p>
    <w:p w:rsidR="00D27AF4" w:rsidRPr="00D27AF4" w:rsidRDefault="00D27AF4" w:rsidP="00D27AF4">
      <w:pPr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yellow"/>
                </w:rPr>
                <m:t>∂E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yellow"/>
                </w:rPr>
                <m:t>∂z</m:t>
              </m:r>
            </m:den>
          </m:f>
          <m:r>
            <w:rPr>
              <w:rFonts w:ascii="Cambria Math" w:hAnsi="Cambria Math"/>
              <w:sz w:val="24"/>
              <w:szCs w:val="24"/>
              <w:highlight w:val="yellow"/>
            </w:rPr>
            <m:t xml:space="preserve">=0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yellow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highlight w:val="yellow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highlight w:val="yellow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sz w:val="24"/>
              <w:szCs w:val="24"/>
              <w:highlight w:val="yellow"/>
            </w:rPr>
            <m:t xml:space="preserve"> &lt;</m:t>
          </m:r>
          <m:r>
            <w:rPr>
              <w:rFonts w:ascii="Cambria Math" w:eastAsiaTheme="minorEastAsia" w:hAnsi="Cambria Math"/>
              <w:sz w:val="24"/>
              <w:szCs w:val="24"/>
              <w:highlight w:val="yellow"/>
            </w:rPr>
            <m:t>0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    </m:t>
          </m:r>
        </m:oMath>
      </m:oMathPara>
    </w:p>
    <w:p w:rsidR="00D27AF4" w:rsidRPr="00D27AF4" w:rsidRDefault="00D27AF4" w:rsidP="00D27AF4">
      <w:pPr>
        <w:rPr>
          <w:rFonts w:eastAsiaTheme="minorEastAsia"/>
          <w:sz w:val="24"/>
          <w:szCs w:val="24"/>
        </w:rPr>
      </w:pPr>
    </w:p>
    <w:p w:rsidR="00DE4472" w:rsidRDefault="00DE4472" w:rsidP="004C26B7">
      <w:pPr>
        <w:jc w:val="center"/>
        <w:rPr>
          <w:b/>
          <w:sz w:val="24"/>
          <w:szCs w:val="24"/>
        </w:rPr>
      </w:pPr>
    </w:p>
    <w:p w:rsidR="00DE4472" w:rsidRDefault="0078273B" w:rsidP="004C26B7">
      <w:pPr>
        <w:jc w:val="center"/>
        <w:rPr>
          <w:b/>
          <w:sz w:val="24"/>
          <w:szCs w:val="24"/>
        </w:rPr>
      </w:pPr>
      <w:r w:rsidRPr="007F1A9B">
        <w:rPr>
          <w:b/>
          <w:sz w:val="24"/>
          <w:szCs w:val="24"/>
        </w:rPr>
        <w:t>Mathematical Criteria for Stability</w:t>
      </w:r>
      <w:r w:rsidR="00B12361">
        <w:rPr>
          <w:b/>
          <w:sz w:val="24"/>
          <w:szCs w:val="24"/>
        </w:rPr>
        <w:t xml:space="preserve"> of Thermodynamic systems</w:t>
      </w:r>
    </w:p>
    <w:p w:rsidR="007F1A9B" w:rsidRPr="007F1A9B" w:rsidRDefault="007F1A9B" w:rsidP="004C26B7">
      <w:pPr>
        <w:jc w:val="center"/>
        <w:rPr>
          <w:b/>
          <w:sz w:val="24"/>
          <w:szCs w:val="24"/>
        </w:rPr>
      </w:pPr>
    </w:p>
    <w:p w:rsidR="0078273B" w:rsidRDefault="0078273B" w:rsidP="004C26B7">
      <w:pPr>
        <w:jc w:val="center"/>
        <w:rPr>
          <w:sz w:val="24"/>
          <w:szCs w:val="24"/>
        </w:rPr>
      </w:pPr>
    </w:p>
    <w:tbl>
      <w:tblPr>
        <w:tblStyle w:val="TabloKlavuzu"/>
        <w:tblW w:w="3294" w:type="dxa"/>
        <w:tblInd w:w="289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196"/>
      </w:tblGrid>
      <w:tr w:rsidR="0078273B" w:rsidTr="007F1A9B">
        <w:trPr>
          <w:trHeight w:val="385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273B" w:rsidRDefault="00B12361" w:rsidP="004C2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:rsidR="0078273B" w:rsidRDefault="0078273B" w:rsidP="004C26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Stability</w:t>
            </w:r>
          </w:p>
        </w:tc>
      </w:tr>
      <w:tr w:rsidR="0078273B" w:rsidTr="007F1A9B">
        <w:tc>
          <w:tcPr>
            <w:tcW w:w="1098" w:type="dxa"/>
            <w:tcBorders>
              <w:top w:val="single" w:sz="4" w:space="0" w:color="auto"/>
            </w:tcBorders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</m:oMath>
            </m:oMathPara>
          </w:p>
        </w:tc>
        <w:tc>
          <w:tcPr>
            <w:tcW w:w="2196" w:type="dxa"/>
            <w:tcBorders>
              <w:top w:val="single" w:sz="4" w:space="0" w:color="auto"/>
            </w:tcBorders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≥0</m:t>
                </m:r>
              </m:oMath>
            </m:oMathPara>
          </w:p>
        </w:tc>
      </w:tr>
      <w:tr w:rsidR="0078273B" w:rsidTr="007F1A9B">
        <w:tc>
          <w:tcPr>
            <w:tcW w:w="1098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2196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≤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oMath>
            </m:oMathPara>
          </w:p>
        </w:tc>
      </w:tr>
      <w:tr w:rsidR="0078273B" w:rsidTr="007F1A9B">
        <w:tc>
          <w:tcPr>
            <w:tcW w:w="1098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oMath>
            </m:oMathPara>
          </w:p>
        </w:tc>
        <w:tc>
          <w:tcPr>
            <w:tcW w:w="2196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≥0</m:t>
                </m:r>
              </m:oMath>
            </m:oMathPara>
          </w:p>
        </w:tc>
      </w:tr>
      <w:tr w:rsidR="0078273B" w:rsidTr="007F1A9B">
        <w:tc>
          <w:tcPr>
            <w:tcW w:w="1098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2196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≥0</m:t>
                </m:r>
              </m:oMath>
            </m:oMathPara>
          </w:p>
        </w:tc>
      </w:tr>
      <w:tr w:rsidR="0078273B" w:rsidTr="007F1A9B">
        <w:tc>
          <w:tcPr>
            <w:tcW w:w="1098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</m:acc>
              </m:oMath>
            </m:oMathPara>
          </w:p>
        </w:tc>
        <w:tc>
          <w:tcPr>
            <w:tcW w:w="2196" w:type="dxa"/>
          </w:tcPr>
          <w:p w:rsidR="0078273B" w:rsidRDefault="00CC4345" w:rsidP="004C26B7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δ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≥0</m:t>
                </m:r>
              </m:oMath>
            </m:oMathPara>
          </w:p>
        </w:tc>
      </w:tr>
    </w:tbl>
    <w:p w:rsidR="0078273B" w:rsidRDefault="0078273B" w:rsidP="004C26B7">
      <w:pPr>
        <w:jc w:val="center"/>
        <w:rPr>
          <w:sz w:val="24"/>
          <w:szCs w:val="24"/>
        </w:rPr>
      </w:pPr>
    </w:p>
    <w:p w:rsidR="0066592A" w:rsidRDefault="0066592A" w:rsidP="004C26B7">
      <w:pPr>
        <w:jc w:val="center"/>
        <w:rPr>
          <w:sz w:val="24"/>
          <w:szCs w:val="24"/>
        </w:rPr>
      </w:pPr>
    </w:p>
    <w:p w:rsidR="0066592A" w:rsidRDefault="0066592A" w:rsidP="004C26B7">
      <w:pPr>
        <w:jc w:val="center"/>
        <w:rPr>
          <w:sz w:val="24"/>
          <w:szCs w:val="24"/>
        </w:rPr>
      </w:pPr>
    </w:p>
    <w:p w:rsidR="00625959" w:rsidRDefault="00625959" w:rsidP="0066592A">
      <w:pPr>
        <w:rPr>
          <w:b/>
          <w:sz w:val="24"/>
          <w:szCs w:val="24"/>
        </w:rPr>
      </w:pPr>
    </w:p>
    <w:p w:rsidR="00625959" w:rsidRPr="00B12361" w:rsidRDefault="00B12361" w:rsidP="004C26B7">
      <w:pPr>
        <w:jc w:val="center"/>
        <w:rPr>
          <w:b/>
          <w:color w:val="FFFFFF" w:themeColor="background1"/>
          <w:sz w:val="24"/>
          <w:szCs w:val="24"/>
        </w:rPr>
      </w:pPr>
      <w:r w:rsidRPr="00B12361">
        <w:rPr>
          <w:b/>
          <w:color w:val="FFFFFF" w:themeColor="background1"/>
          <w:sz w:val="24"/>
          <w:szCs w:val="24"/>
          <w:highlight w:val="red"/>
        </w:rPr>
        <w:t>Example</w:t>
      </w:r>
    </w:p>
    <w:p w:rsidR="00DA317D" w:rsidRDefault="00DA317D" w:rsidP="004C26B7">
      <w:pPr>
        <w:jc w:val="center"/>
        <w:rPr>
          <w:b/>
          <w:sz w:val="24"/>
          <w:szCs w:val="24"/>
        </w:rPr>
      </w:pPr>
    </w:p>
    <w:p w:rsidR="00B12361" w:rsidRPr="00BC3829" w:rsidRDefault="00B12361" w:rsidP="00BC382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BC3829">
        <w:rPr>
          <w:rFonts w:cstheme="minorHAnsi"/>
          <w:sz w:val="24"/>
          <w:szCs w:val="24"/>
          <w:lang w:val="tr-TR"/>
        </w:rPr>
        <w:t>We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have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li</w:t>
      </w:r>
      <w:r w:rsidR="00BC3829">
        <w:rPr>
          <w:rFonts w:cstheme="minorHAnsi"/>
          <w:sz w:val="24"/>
          <w:szCs w:val="24"/>
          <w:lang w:val="tr-TR"/>
        </w:rPr>
        <w:t>quid</w:t>
      </w:r>
      <w:proofErr w:type="spellEnd"/>
      <w:r w:rsid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="00BC3829">
        <w:rPr>
          <w:rFonts w:cstheme="minorHAnsi"/>
          <w:sz w:val="24"/>
          <w:szCs w:val="24"/>
          <w:lang w:val="tr-TR"/>
        </w:rPr>
        <w:t>ethane</w:t>
      </w:r>
      <w:proofErr w:type="spellEnd"/>
      <w:r w:rsidR="00BC3829">
        <w:rPr>
          <w:rFonts w:cstheme="minorHAnsi"/>
          <w:sz w:val="24"/>
          <w:szCs w:val="24"/>
          <w:lang w:val="tr-TR"/>
        </w:rPr>
        <w:t xml:space="preserve"> at 1 </w:t>
      </w:r>
      <w:r w:rsidRPr="00BC3829">
        <w:rPr>
          <w:rFonts w:cstheme="minorHAnsi"/>
          <w:sz w:val="24"/>
          <w:szCs w:val="24"/>
          <w:lang w:val="tr-TR"/>
        </w:rPr>
        <w:t xml:space="preserve">bar </w:t>
      </w:r>
      <w:proofErr w:type="spellStart"/>
      <w:r w:rsidRPr="00BC3829">
        <w:rPr>
          <w:rFonts w:cstheme="minorHAnsi"/>
          <w:sz w:val="24"/>
          <w:szCs w:val="24"/>
          <w:lang w:val="tr-TR"/>
        </w:rPr>
        <w:t>pressure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. </w:t>
      </w:r>
      <w:proofErr w:type="spellStart"/>
      <w:r w:rsidRPr="00BC3829">
        <w:rPr>
          <w:rFonts w:cstheme="minorHAnsi"/>
          <w:sz w:val="24"/>
          <w:szCs w:val="24"/>
          <w:lang w:val="tr-TR"/>
        </w:rPr>
        <w:t>What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is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the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maximum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temperature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the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liquid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ethane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can be </w:t>
      </w:r>
      <w:proofErr w:type="spellStart"/>
      <w:r w:rsidRPr="00BC3829">
        <w:rPr>
          <w:rFonts w:cstheme="minorHAnsi"/>
          <w:sz w:val="24"/>
          <w:szCs w:val="24"/>
          <w:lang w:val="tr-TR"/>
        </w:rPr>
        <w:t>heated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to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before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it </w:t>
      </w:r>
      <w:proofErr w:type="spellStart"/>
      <w:r w:rsidRPr="00BC3829">
        <w:rPr>
          <w:rFonts w:cstheme="minorHAnsi"/>
          <w:sz w:val="24"/>
          <w:szCs w:val="24"/>
          <w:lang w:val="tr-TR"/>
        </w:rPr>
        <w:t>reaches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the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limit of </w:t>
      </w:r>
      <w:proofErr w:type="spellStart"/>
      <w:r w:rsidRPr="00BC3829">
        <w:rPr>
          <w:rFonts w:cstheme="minorHAnsi"/>
          <w:sz w:val="24"/>
          <w:szCs w:val="24"/>
          <w:lang w:val="tr-TR"/>
        </w:rPr>
        <w:t>stability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? </w:t>
      </w:r>
      <w:proofErr w:type="spellStart"/>
      <w:r w:rsidRPr="00BC3829">
        <w:rPr>
          <w:rFonts w:cstheme="minorHAnsi"/>
          <w:sz w:val="24"/>
          <w:szCs w:val="24"/>
          <w:lang w:val="tr-TR"/>
        </w:rPr>
        <w:t>Use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the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van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der </w:t>
      </w:r>
      <w:proofErr w:type="spellStart"/>
      <w:r w:rsidRPr="00BC3829">
        <w:rPr>
          <w:rFonts w:cstheme="minorHAnsi"/>
          <w:sz w:val="24"/>
          <w:szCs w:val="24"/>
          <w:lang w:val="tr-TR"/>
        </w:rPr>
        <w:t>Waals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equation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 w:rsidRPr="00BC3829">
        <w:rPr>
          <w:rFonts w:cstheme="minorHAnsi"/>
          <w:sz w:val="24"/>
          <w:szCs w:val="24"/>
          <w:lang w:val="tr-TR"/>
        </w:rPr>
        <w:t>state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with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the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following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 data;</w:t>
      </w:r>
    </w:p>
    <w:p w:rsidR="00B12361" w:rsidRPr="00BC3829" w:rsidRDefault="00B12361" w:rsidP="00BC3829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tr-TR"/>
        </w:rPr>
      </w:pPr>
    </w:p>
    <w:p w:rsidR="00BC3829" w:rsidRDefault="00BC3829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DA317D" w:rsidRDefault="00B12361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BC3829">
        <w:rPr>
          <w:rFonts w:cstheme="minorHAnsi"/>
          <w:sz w:val="24"/>
          <w:szCs w:val="24"/>
          <w:lang w:val="tr-TR"/>
        </w:rPr>
        <w:t>T</w:t>
      </w:r>
      <w:r w:rsidRPr="0066592A">
        <w:rPr>
          <w:rFonts w:cstheme="minorHAnsi"/>
          <w:sz w:val="24"/>
          <w:szCs w:val="24"/>
          <w:vertAlign w:val="subscript"/>
          <w:lang w:val="tr-TR"/>
        </w:rPr>
        <w:t>c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= 305.4 </w:t>
      </w:r>
      <w:proofErr w:type="gramStart"/>
      <w:r w:rsidRPr="00BC3829">
        <w:rPr>
          <w:rFonts w:cstheme="minorHAnsi"/>
          <w:sz w:val="24"/>
          <w:szCs w:val="24"/>
          <w:lang w:val="tr-TR"/>
        </w:rPr>
        <w:t>K ;</w:t>
      </w:r>
      <w:proofErr w:type="gramEnd"/>
      <w:r w:rsidRPr="00BC3829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BC3829">
        <w:rPr>
          <w:rFonts w:cstheme="minorHAnsi"/>
          <w:sz w:val="24"/>
          <w:szCs w:val="24"/>
          <w:lang w:val="tr-TR"/>
        </w:rPr>
        <w:t>P</w:t>
      </w:r>
      <w:r w:rsidRPr="0066592A">
        <w:rPr>
          <w:rFonts w:cstheme="minorHAnsi"/>
          <w:sz w:val="24"/>
          <w:szCs w:val="24"/>
          <w:vertAlign w:val="subscript"/>
          <w:lang w:val="tr-TR"/>
        </w:rPr>
        <w:t>c</w:t>
      </w:r>
      <w:proofErr w:type="spellEnd"/>
      <w:r w:rsidRPr="00BC3829">
        <w:rPr>
          <w:rFonts w:cstheme="minorHAnsi"/>
          <w:sz w:val="24"/>
          <w:szCs w:val="24"/>
          <w:lang w:val="tr-TR"/>
        </w:rPr>
        <w:t xml:space="preserve">= 48.8 bar ; </w:t>
      </w:r>
      <w:proofErr w:type="spellStart"/>
      <w:r w:rsidRPr="00BC3829">
        <w:rPr>
          <w:rFonts w:cstheme="minorHAnsi"/>
          <w:sz w:val="24"/>
          <w:szCs w:val="24"/>
          <w:lang w:val="tr-TR"/>
        </w:rPr>
        <w:t>T</w:t>
      </w:r>
      <w:r w:rsidRPr="0066592A">
        <w:rPr>
          <w:rFonts w:cstheme="minorHAnsi"/>
          <w:sz w:val="24"/>
          <w:szCs w:val="24"/>
          <w:vertAlign w:val="subscript"/>
          <w:lang w:val="tr-TR"/>
        </w:rPr>
        <w:t>b</w:t>
      </w:r>
      <w:proofErr w:type="spellEnd"/>
      <w:r w:rsidRPr="00BC3829">
        <w:rPr>
          <w:rFonts w:cstheme="minorHAnsi"/>
          <w:sz w:val="24"/>
          <w:szCs w:val="24"/>
          <w:lang w:val="tr-TR"/>
        </w:rPr>
        <w:t>= 184.5 K (at 1.013 bar)</w:t>
      </w: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  <w:bookmarkStart w:id="0" w:name="_GoBack"/>
      <w:bookmarkEnd w:id="0"/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</w:p>
    <w:p w:rsidR="0066592A" w:rsidRPr="0066592A" w:rsidRDefault="0066592A" w:rsidP="0066592A">
      <w:pPr>
        <w:jc w:val="both"/>
        <w:rPr>
          <w:rFonts w:cstheme="minorHAnsi"/>
          <w:b/>
          <w:sz w:val="24"/>
          <w:szCs w:val="24"/>
          <w:lang w:val="tr-TR"/>
        </w:rPr>
      </w:pPr>
      <w:proofErr w:type="spellStart"/>
      <w:r w:rsidRPr="0066592A">
        <w:rPr>
          <w:rFonts w:cstheme="minorHAnsi"/>
          <w:b/>
          <w:sz w:val="24"/>
          <w:szCs w:val="24"/>
          <w:lang w:val="tr-TR"/>
        </w:rPr>
        <w:lastRenderedPageBreak/>
        <w:t>References</w:t>
      </w:r>
      <w:proofErr w:type="spellEnd"/>
      <w:r w:rsidRPr="0066592A">
        <w:rPr>
          <w:rFonts w:cstheme="minorHAnsi"/>
          <w:b/>
          <w:sz w:val="24"/>
          <w:szCs w:val="24"/>
          <w:lang w:val="tr-TR"/>
        </w:rPr>
        <w:t>:</w:t>
      </w: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  <w:r w:rsidRPr="0066592A">
        <w:rPr>
          <w:rFonts w:cstheme="minorHAnsi"/>
          <w:sz w:val="24"/>
          <w:szCs w:val="24"/>
          <w:lang w:val="tr-TR"/>
        </w:rPr>
        <w:t xml:space="preserve">Jefferson W. </w:t>
      </w:r>
      <w:proofErr w:type="spellStart"/>
      <w:r w:rsidRPr="0066592A">
        <w:rPr>
          <w:rFonts w:cstheme="minorHAnsi"/>
          <w:sz w:val="24"/>
          <w:szCs w:val="24"/>
          <w:lang w:val="tr-TR"/>
        </w:rPr>
        <w:t>Tester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and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Michael </w:t>
      </w:r>
      <w:proofErr w:type="spellStart"/>
      <w:r w:rsidRPr="0066592A">
        <w:rPr>
          <w:rFonts w:cstheme="minorHAnsi"/>
          <w:sz w:val="24"/>
          <w:szCs w:val="24"/>
          <w:lang w:val="tr-TR"/>
        </w:rPr>
        <w:t>Modell</w:t>
      </w:r>
      <w:proofErr w:type="spellEnd"/>
      <w:r w:rsidRPr="0066592A">
        <w:rPr>
          <w:rFonts w:cstheme="minorHAnsi"/>
          <w:sz w:val="24"/>
          <w:szCs w:val="24"/>
          <w:lang w:val="tr-TR"/>
        </w:rPr>
        <w:t>, “</w:t>
      </w:r>
      <w:proofErr w:type="spellStart"/>
      <w:r w:rsidRPr="0066592A">
        <w:rPr>
          <w:rFonts w:cstheme="minorHAnsi"/>
          <w:sz w:val="24"/>
          <w:szCs w:val="24"/>
          <w:lang w:val="tr-TR"/>
        </w:rPr>
        <w:t>Thermodynamics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and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Its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Applications”, 1996, </w:t>
      </w:r>
      <w:proofErr w:type="spellStart"/>
      <w:r w:rsidRPr="0066592A">
        <w:rPr>
          <w:rFonts w:cstheme="minorHAnsi"/>
          <w:sz w:val="24"/>
          <w:szCs w:val="24"/>
          <w:lang w:val="tr-TR"/>
        </w:rPr>
        <w:t>Prentice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Hall</w:t>
      </w:r>
      <w:proofErr w:type="spellEnd"/>
      <w:r w:rsidRPr="0066592A">
        <w:rPr>
          <w:rFonts w:cstheme="minorHAnsi"/>
          <w:sz w:val="24"/>
          <w:szCs w:val="24"/>
          <w:lang w:val="tr-TR"/>
        </w:rPr>
        <w:t>.</w:t>
      </w: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  <w:proofErr w:type="spellStart"/>
      <w:r w:rsidRPr="0066592A">
        <w:rPr>
          <w:rFonts w:cstheme="minorHAnsi"/>
          <w:sz w:val="24"/>
          <w:szCs w:val="24"/>
          <w:lang w:val="tr-TR"/>
        </w:rPr>
        <w:t>Ismail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Tosun, “</w:t>
      </w:r>
      <w:proofErr w:type="spellStart"/>
      <w:r w:rsidRPr="0066592A">
        <w:rPr>
          <w:rFonts w:cstheme="minorHAnsi"/>
          <w:sz w:val="24"/>
          <w:szCs w:val="24"/>
          <w:lang w:val="tr-TR"/>
        </w:rPr>
        <w:t>The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Thermodynamics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of </w:t>
      </w:r>
      <w:proofErr w:type="spellStart"/>
      <w:r w:rsidRPr="0066592A">
        <w:rPr>
          <w:rFonts w:cstheme="minorHAnsi"/>
          <w:sz w:val="24"/>
          <w:szCs w:val="24"/>
          <w:lang w:val="tr-TR"/>
        </w:rPr>
        <w:t>Phase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and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Reaction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 </w:t>
      </w:r>
      <w:proofErr w:type="spellStart"/>
      <w:r w:rsidRPr="0066592A">
        <w:rPr>
          <w:rFonts w:cstheme="minorHAnsi"/>
          <w:sz w:val="24"/>
          <w:szCs w:val="24"/>
          <w:lang w:val="tr-TR"/>
        </w:rPr>
        <w:t>Equilibria</w:t>
      </w:r>
      <w:proofErr w:type="spellEnd"/>
      <w:r w:rsidRPr="0066592A">
        <w:rPr>
          <w:rFonts w:cstheme="minorHAnsi"/>
          <w:sz w:val="24"/>
          <w:szCs w:val="24"/>
          <w:lang w:val="tr-TR"/>
        </w:rPr>
        <w:t xml:space="preserve">”, 2012, </w:t>
      </w:r>
      <w:proofErr w:type="spellStart"/>
      <w:r w:rsidRPr="0066592A">
        <w:rPr>
          <w:rFonts w:cstheme="minorHAnsi"/>
          <w:sz w:val="24"/>
          <w:szCs w:val="24"/>
          <w:lang w:val="tr-TR"/>
        </w:rPr>
        <w:t>Elsevier</w:t>
      </w:r>
      <w:proofErr w:type="spellEnd"/>
      <w:r w:rsidRPr="0066592A">
        <w:rPr>
          <w:rFonts w:cstheme="minorHAnsi"/>
          <w:sz w:val="24"/>
          <w:szCs w:val="24"/>
          <w:lang w:val="tr-TR"/>
        </w:rPr>
        <w:t>.</w:t>
      </w: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66592A">
      <w:pPr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Default="0066592A" w:rsidP="00BC3829">
      <w:pPr>
        <w:ind w:left="1416" w:firstLine="708"/>
        <w:jc w:val="both"/>
        <w:rPr>
          <w:rFonts w:cstheme="minorHAnsi"/>
          <w:sz w:val="24"/>
          <w:szCs w:val="24"/>
          <w:lang w:val="tr-TR"/>
        </w:rPr>
      </w:pPr>
    </w:p>
    <w:p w:rsidR="0066592A" w:rsidRPr="00BC3829" w:rsidRDefault="0066592A" w:rsidP="00BC3829">
      <w:pPr>
        <w:ind w:left="1416" w:firstLine="708"/>
        <w:jc w:val="both"/>
        <w:rPr>
          <w:rFonts w:cstheme="minorHAnsi"/>
          <w:b/>
          <w:sz w:val="24"/>
          <w:szCs w:val="24"/>
        </w:rPr>
      </w:pPr>
    </w:p>
    <w:p w:rsidR="00DA317D" w:rsidRPr="00625959" w:rsidRDefault="00DA317D" w:rsidP="004C26B7">
      <w:pPr>
        <w:jc w:val="center"/>
        <w:rPr>
          <w:b/>
          <w:sz w:val="24"/>
          <w:szCs w:val="24"/>
        </w:rPr>
      </w:pPr>
    </w:p>
    <w:sectPr w:rsidR="00DA317D" w:rsidRPr="00625959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7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3624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26B7"/>
    <w:rsid w:val="004C67AC"/>
    <w:rsid w:val="004D3593"/>
    <w:rsid w:val="004D5062"/>
    <w:rsid w:val="004D5DF9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17D2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5959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92A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273B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1A9B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236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97C9D"/>
    <w:rsid w:val="00BA57F0"/>
    <w:rsid w:val="00BA76AD"/>
    <w:rsid w:val="00BB65A9"/>
    <w:rsid w:val="00BC382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01D4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4345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27AF4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95092"/>
    <w:rsid w:val="00DA317D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472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CB41"/>
  <w14:defaultImageDpi w14:val="32767"/>
  <w15:chartTrackingRefBased/>
  <w15:docId w15:val="{7ED0542A-E131-2843-BB75-68CF863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236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C43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5</cp:revision>
  <dcterms:created xsi:type="dcterms:W3CDTF">2018-07-16T11:17:00Z</dcterms:created>
  <dcterms:modified xsi:type="dcterms:W3CDTF">2018-07-16T16:32:00Z</dcterms:modified>
</cp:coreProperties>
</file>