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BC68E" w14:textId="77777777" w:rsidR="00BD4273" w:rsidRPr="009B48BF" w:rsidRDefault="00293287">
      <w:pPr>
        <w:rPr>
          <w:rFonts w:ascii="Times New Roman" w:hAnsi="Times New Roman" w:cs="Times New Roman"/>
          <w:b/>
          <w:sz w:val="20"/>
          <w:szCs w:val="20"/>
        </w:rPr>
      </w:pPr>
      <w:r w:rsidRPr="009B48BF">
        <w:rPr>
          <w:rFonts w:ascii="Times New Roman" w:hAnsi="Times New Roman" w:cs="Times New Roman"/>
          <w:b/>
          <w:sz w:val="20"/>
          <w:szCs w:val="20"/>
        </w:rPr>
        <w:t>PREMEDİKASYON:</w:t>
      </w:r>
    </w:p>
    <w:p w14:paraId="4C2CE8B0" w14:textId="77777777" w:rsidR="009B48BF" w:rsidRDefault="009B48BF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DB6F11"/>
          <w:sz w:val="20"/>
          <w:szCs w:val="20"/>
        </w:rPr>
      </w:pPr>
    </w:p>
    <w:p w14:paraId="71E77D21" w14:textId="77777777" w:rsidR="00293287" w:rsidRPr="009B48BF" w:rsidRDefault="00293287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Endişe ve stresi önlemek</w:t>
      </w:r>
    </w:p>
    <w:p w14:paraId="58B848FB" w14:textId="77777777" w:rsidR="00293287" w:rsidRPr="009B48BF" w:rsidRDefault="00293287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Analjezi</w:t>
      </w:r>
    </w:p>
    <w:p w14:paraId="30D4B7E6" w14:textId="77777777" w:rsidR="00293287" w:rsidRPr="009B48BF" w:rsidRDefault="00293287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Antisiyalog</w:t>
      </w:r>
      <w:proofErr w:type="spellEnd"/>
    </w:p>
    <w:p w14:paraId="6B9FCFEA" w14:textId="77777777" w:rsidR="00293287" w:rsidRPr="009B48BF" w:rsidRDefault="00293287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Amnezi</w:t>
      </w:r>
    </w:p>
    <w:p w14:paraId="6CF82A48" w14:textId="77777777" w:rsidR="00293287" w:rsidRPr="009B48BF" w:rsidRDefault="00293287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Gastrik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sıvı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pH’sının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yükseltilmesi</w:t>
      </w:r>
    </w:p>
    <w:p w14:paraId="077B0A1D" w14:textId="77777777" w:rsidR="00293287" w:rsidRPr="009B48BF" w:rsidRDefault="00293287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Gastrik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volümün azaltılması</w:t>
      </w:r>
    </w:p>
    <w:p w14:paraId="163FBB0D" w14:textId="77777777" w:rsidR="00293287" w:rsidRPr="009B48BF" w:rsidRDefault="00293287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Allerjik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reaksiyonlara karşı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profilaksi</w:t>
      </w:r>
    </w:p>
    <w:p w14:paraId="25F7A443" w14:textId="77777777" w:rsidR="00293287" w:rsidRPr="009B48BF" w:rsidRDefault="00293287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0"/>
          <w:szCs w:val="20"/>
        </w:rPr>
      </w:pPr>
      <w:proofErr w:type="spellEnd"/>
    </w:p>
    <w:p w14:paraId="28655D35" w14:textId="77777777" w:rsidR="00293287" w:rsidRPr="009B48BF" w:rsidRDefault="00293287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0"/>
          <w:szCs w:val="20"/>
        </w:rPr>
      </w:pPr>
      <w:r w:rsidRPr="009B48BF">
        <w:rPr>
          <w:rFonts w:ascii="Times New Roman" w:hAnsi="Times New Roman" w:cs="Times New Roman"/>
          <w:color w:val="313131"/>
          <w:sz w:val="20"/>
          <w:szCs w:val="20"/>
        </w:rPr>
        <w:t>Operasyondan 1-2 saat önce uygulanmalı</w:t>
      </w:r>
      <w:r w:rsidR="00A7164D"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dır. 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Hastanın yaşı, genel durumu, ce</w:t>
      </w:r>
      <w:r w:rsidR="00A7164D"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rrahi tipi, </w:t>
      </w:r>
      <w:proofErr w:type="spellStart"/>
      <w:r w:rsidR="00A7164D" w:rsidRPr="009B48BF">
        <w:rPr>
          <w:rFonts w:ascii="Times New Roman" w:hAnsi="Times New Roman" w:cs="Times New Roman"/>
          <w:color w:val="313131"/>
          <w:sz w:val="20"/>
          <w:szCs w:val="20"/>
        </w:rPr>
        <w:t>anksiyete</w:t>
      </w:r>
      <w:proofErr w:type="spellEnd"/>
      <w:r w:rsidR="00A7164D"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derecesine göre </w:t>
      </w:r>
      <w:proofErr w:type="spellStart"/>
      <w:r w:rsidR="00A7164D" w:rsidRPr="009B48BF">
        <w:rPr>
          <w:rFonts w:ascii="Times New Roman" w:hAnsi="Times New Roman" w:cs="Times New Roman"/>
          <w:color w:val="313131"/>
          <w:sz w:val="20"/>
          <w:szCs w:val="20"/>
        </w:rPr>
        <w:t>premediksyon</w:t>
      </w:r>
      <w:proofErr w:type="spellEnd"/>
      <w:r w:rsidR="00A7164D"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değerlendirilmeli</w:t>
      </w:r>
      <w:r w:rsidR="00A7164D" w:rsidRPr="009B48BF">
        <w:rPr>
          <w:rFonts w:ascii="Times New Roman" w:hAnsi="Times New Roman" w:cs="Times New Roman"/>
          <w:color w:val="313131"/>
          <w:sz w:val="20"/>
          <w:szCs w:val="20"/>
        </w:rPr>
        <w:t>dir.</w:t>
      </w:r>
      <w:r w:rsidR="00A7164D"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7164D"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Her hastada </w:t>
      </w:r>
      <w:proofErr w:type="spellStart"/>
      <w:r w:rsidR="00A7164D" w:rsidRPr="009B48BF">
        <w:rPr>
          <w:rFonts w:ascii="Times New Roman" w:hAnsi="Times New Roman" w:cs="Times New Roman"/>
          <w:color w:val="000000"/>
          <w:sz w:val="20"/>
          <w:szCs w:val="20"/>
        </w:rPr>
        <w:t>preoperatif</w:t>
      </w:r>
      <w:proofErr w:type="spellEnd"/>
      <w:r w:rsidR="00A7164D"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A7164D" w:rsidRPr="009B48BF">
        <w:rPr>
          <w:rFonts w:ascii="Times New Roman" w:hAnsi="Times New Roman" w:cs="Times New Roman"/>
          <w:color w:val="000000"/>
          <w:sz w:val="20"/>
          <w:szCs w:val="20"/>
        </w:rPr>
        <w:t>medikasyon</w:t>
      </w:r>
      <w:proofErr w:type="spellEnd"/>
      <w:r w:rsidR="00A7164D"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gerekli olmayabilir</w:t>
      </w:r>
      <w:r w:rsidR="00A7164D" w:rsidRPr="009B48B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3B57CF0" w14:textId="77777777" w:rsidR="00293287" w:rsidRPr="009B48BF" w:rsidRDefault="00293287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0"/>
          <w:szCs w:val="20"/>
        </w:rPr>
      </w:pP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IV, IM, oral,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rektal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subkutan</w:t>
      </w:r>
      <w:proofErr w:type="spellEnd"/>
      <w:r w:rsidR="00A7164D"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yoldan ilaç uygulaması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tercih edilebilir</w:t>
      </w:r>
      <w:r w:rsidR="00A7164D" w:rsidRPr="009B48BF">
        <w:rPr>
          <w:rFonts w:ascii="Times New Roman" w:hAnsi="Times New Roman" w:cs="Times New Roman"/>
          <w:color w:val="313131"/>
          <w:sz w:val="20"/>
          <w:szCs w:val="20"/>
        </w:rPr>
        <w:t>.</w:t>
      </w:r>
    </w:p>
    <w:p w14:paraId="7486F659" w14:textId="77777777" w:rsidR="00A7164D" w:rsidRPr="009B48BF" w:rsidRDefault="00A7164D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Kronik akciğer hastalığı,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hipovolemi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, kafa içi basınç artışı, havayolu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obtrüksiyonu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gibi durumların varlığında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sedatif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ajan kullanımına dikkat ediniz.</w:t>
      </w:r>
    </w:p>
    <w:p w14:paraId="78A5BB80" w14:textId="77777777" w:rsidR="00A7164D" w:rsidRPr="009B48BF" w:rsidRDefault="00A7164D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0917116B" w14:textId="77777777" w:rsidR="00A7164D" w:rsidRPr="009B48BF" w:rsidRDefault="00A7164D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Premedikasyonda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4 tip ajan tercih edilir:</w:t>
      </w:r>
    </w:p>
    <w:p w14:paraId="5503E959" w14:textId="77777777" w:rsidR="00A7164D" w:rsidRPr="009B48BF" w:rsidRDefault="00A7164D" w:rsidP="009B48BF">
      <w:pPr>
        <w:pStyle w:val="ListeParagraf"/>
        <w:widowControl w:val="0"/>
        <w:numPr>
          <w:ilvl w:val="0"/>
          <w:numId w:val="2"/>
        </w:numPr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Sedasyon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amacıyla kullanılan ilaçlar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(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benzodiazepinler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opioidler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>)</w:t>
      </w:r>
    </w:p>
    <w:p w14:paraId="121BCD02" w14:textId="77777777" w:rsidR="009B48BF" w:rsidRPr="009B48BF" w:rsidRDefault="00A7164D" w:rsidP="00A7164D">
      <w:pPr>
        <w:pStyle w:val="ListeParagraf"/>
        <w:widowControl w:val="0"/>
        <w:numPr>
          <w:ilvl w:val="0"/>
          <w:numId w:val="2"/>
        </w:numPr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Antikolinerjik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İlaçlar (atropin,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skopolamin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glikopirolat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>)</w:t>
      </w:r>
    </w:p>
    <w:p w14:paraId="4F9478C1" w14:textId="77777777" w:rsidR="009B48BF" w:rsidRPr="009B48BF" w:rsidRDefault="00A7164D" w:rsidP="00A7164D">
      <w:pPr>
        <w:pStyle w:val="ListeParagraf"/>
        <w:widowControl w:val="0"/>
        <w:numPr>
          <w:ilvl w:val="0"/>
          <w:numId w:val="2"/>
        </w:numPr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Antihistaminikler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(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difenhidramin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hidroksizin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>)</w:t>
      </w:r>
    </w:p>
    <w:p w14:paraId="0DE95258" w14:textId="77777777" w:rsidR="00A7164D" w:rsidRPr="009B48BF" w:rsidRDefault="00A7164D" w:rsidP="00A7164D">
      <w:pPr>
        <w:pStyle w:val="ListeParagraf"/>
        <w:widowControl w:val="0"/>
        <w:numPr>
          <w:ilvl w:val="0"/>
          <w:numId w:val="2"/>
        </w:numPr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Mide asidi ve volümünü azaltmakta kullanılan ilaçlar (H2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antagoistleri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metklopramid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>)</w:t>
      </w:r>
    </w:p>
    <w:p w14:paraId="4B089F5C" w14:textId="77777777" w:rsidR="00A7164D" w:rsidRPr="009B48BF" w:rsidRDefault="00A7164D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24D65867" w14:textId="77777777" w:rsidR="009B48BF" w:rsidRPr="009B48BF" w:rsidRDefault="009B48BF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1) </w:t>
      </w:r>
      <w:proofErr w:type="spellStart"/>
      <w:r w:rsidRPr="009B48BF">
        <w:rPr>
          <w:rFonts w:ascii="Times New Roman" w:hAnsi="Times New Roman" w:cs="Times New Roman"/>
          <w:b/>
          <w:color w:val="000000"/>
          <w:sz w:val="20"/>
          <w:szCs w:val="20"/>
        </w:rPr>
        <w:t>Sedatifler</w:t>
      </w:r>
      <w:proofErr w:type="spellEnd"/>
    </w:p>
    <w:p w14:paraId="4E0A21F0" w14:textId="77777777" w:rsidR="00293287" w:rsidRPr="009B48BF" w:rsidRDefault="00A7164D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Barbituratların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ve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benzodiazepinlerin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analjezik özellikleri bulunmamaktadır. Solunum depresyonu en önemli yan etkileridir.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Barbituratların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antagonisti yoktur, oryantasyon bozukluğuna sebep olabilir, bu nedenle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sedasyon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amacıyla çok fazla tercih edilmez.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Benzodiazepinler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sedatif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anksiyolitik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amnezik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antikonvülzan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olarak kullanılır,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midazolam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etki süresi kısa olduğu için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premedikasyonda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en çok tercih edilen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benzodiazepindir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5C4C8B4" w14:textId="77777777" w:rsidR="00A7164D" w:rsidRPr="009B48BF" w:rsidRDefault="00A7164D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19549D66" w14:textId="77777777" w:rsidR="00A7164D" w:rsidRPr="009B48BF" w:rsidRDefault="00A7164D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Opioidler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ağrılı işlemlerden önce (sinir blokları,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kataterizasyon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vb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postoperatif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analjezide kullanılır.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Anestezik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ihtiyacını azalttığı için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intraoperatif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kullanımı yaygındır. Ancak günümüzde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peroperatif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opioid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tüketimini en az düzeyde tutmaya yönelik uygulamalar gündemdedir. </w:t>
      </w:r>
      <w:proofErr w:type="spellStart"/>
      <w:r w:rsidRPr="009B48BF">
        <w:rPr>
          <w:rFonts w:ascii="Times New Roman" w:hAnsi="Times New Roman" w:cs="Times New Roman"/>
          <w:color w:val="000000"/>
          <w:sz w:val="20"/>
          <w:szCs w:val="20"/>
        </w:rPr>
        <w:t>Opioidler</w:t>
      </w:r>
      <w:proofErr w:type="spellEnd"/>
      <w:r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solunum depresyonu</w:t>
      </w:r>
      <w:r w:rsidR="009B48BF"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9B48BF" w:rsidRPr="009B48BF">
        <w:rPr>
          <w:rFonts w:ascii="Times New Roman" w:hAnsi="Times New Roman" w:cs="Times New Roman"/>
          <w:color w:val="000000"/>
          <w:sz w:val="20"/>
          <w:szCs w:val="20"/>
        </w:rPr>
        <w:t>bradikardi</w:t>
      </w:r>
      <w:proofErr w:type="spellEnd"/>
      <w:r w:rsidR="009B48BF"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, bulantı kusma, </w:t>
      </w:r>
      <w:proofErr w:type="spellStart"/>
      <w:r w:rsidR="009B48BF" w:rsidRPr="009B48BF">
        <w:rPr>
          <w:rFonts w:ascii="Times New Roman" w:hAnsi="Times New Roman" w:cs="Times New Roman"/>
          <w:color w:val="000000"/>
          <w:sz w:val="20"/>
          <w:szCs w:val="20"/>
        </w:rPr>
        <w:t>konstipasyona</w:t>
      </w:r>
      <w:proofErr w:type="spellEnd"/>
      <w:r w:rsidR="009B48BF"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neden olabilir. </w:t>
      </w:r>
      <w:proofErr w:type="spellStart"/>
      <w:r w:rsidR="009B48BF" w:rsidRPr="009B48BF">
        <w:rPr>
          <w:rFonts w:ascii="Times New Roman" w:hAnsi="Times New Roman" w:cs="Times New Roman"/>
          <w:color w:val="000000"/>
          <w:sz w:val="20"/>
          <w:szCs w:val="20"/>
        </w:rPr>
        <w:t>Meperidin</w:t>
      </w:r>
      <w:proofErr w:type="spellEnd"/>
      <w:r w:rsidR="009B48BF" w:rsidRPr="009B48BF">
        <w:rPr>
          <w:rFonts w:ascii="Times New Roman" w:hAnsi="Times New Roman" w:cs="Times New Roman"/>
          <w:color w:val="000000"/>
          <w:sz w:val="20"/>
          <w:szCs w:val="20"/>
        </w:rPr>
        <w:t xml:space="preserve"> farklı olarak taşikardi oluşturur.</w:t>
      </w:r>
    </w:p>
    <w:p w14:paraId="5E271D35" w14:textId="77777777" w:rsidR="00A7164D" w:rsidRPr="009B48BF" w:rsidRDefault="00A7164D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1D985B37" w14:textId="77777777" w:rsidR="009B48BF" w:rsidRPr="009B48BF" w:rsidRDefault="009B48BF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2) </w:t>
      </w:r>
      <w:proofErr w:type="spellStart"/>
      <w:r w:rsidRPr="009B48BF">
        <w:rPr>
          <w:rFonts w:ascii="Times New Roman" w:hAnsi="Times New Roman" w:cs="Times New Roman"/>
          <w:b/>
          <w:color w:val="000000"/>
          <w:sz w:val="20"/>
          <w:szCs w:val="20"/>
        </w:rPr>
        <w:t>Antikolinerjikler</w:t>
      </w:r>
      <w:proofErr w:type="spellEnd"/>
      <w:r w:rsidRPr="009B48BF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14:paraId="78F0021A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Muskarinik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reseptör blokajı         parasempatik etki azalır (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asetilkolinin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muskarinik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etkileri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inhibe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olur)</w:t>
      </w:r>
    </w:p>
    <w:p w14:paraId="2A8D9755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Kalp, göz, dış salgı bezleri</w:t>
      </w:r>
    </w:p>
    <w:p w14:paraId="14F36356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Atropin</w:t>
      </w:r>
    </w:p>
    <w:p w14:paraId="58368A58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Skoplamin</w:t>
      </w:r>
      <w:proofErr w:type="spellEnd"/>
    </w:p>
    <w:p w14:paraId="3F664356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Glikoprolat</w:t>
      </w:r>
      <w:proofErr w:type="spellEnd"/>
    </w:p>
    <w:p w14:paraId="51320D43" w14:textId="77777777" w:rsidR="009B48BF" w:rsidRPr="009B48BF" w:rsidRDefault="009B48BF" w:rsidP="00293287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0833A713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sz w:val="20"/>
          <w:szCs w:val="20"/>
        </w:rPr>
      </w:pPr>
      <w:r w:rsidRPr="009B48BF">
        <w:rPr>
          <w:rFonts w:ascii="Times New Roman" w:hAnsi="Times New Roman" w:cs="Times New Roman"/>
          <w:sz w:val="20"/>
          <w:szCs w:val="20"/>
        </w:rPr>
        <w:t xml:space="preserve">Kullanım amaçları: </w:t>
      </w:r>
    </w:p>
    <w:p w14:paraId="409D2E50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Hastada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antisiyalog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etki oluşturmak</w:t>
      </w:r>
    </w:p>
    <w:p w14:paraId="6906858E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Sedatif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ve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amnezik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etki oluşturmak</w:t>
      </w:r>
    </w:p>
    <w:p w14:paraId="3A3E9844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Refleks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bradikardiyi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önlemek</w:t>
      </w:r>
    </w:p>
    <w:p w14:paraId="0E642FF7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Gastrik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sekresyonu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azaltmak</w:t>
      </w:r>
    </w:p>
    <w:p w14:paraId="3490C03E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0"/>
          <w:szCs w:val="20"/>
        </w:rPr>
      </w:pPr>
    </w:p>
    <w:p w14:paraId="302BD621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0"/>
          <w:szCs w:val="20"/>
        </w:rPr>
      </w:pPr>
      <w:r w:rsidRPr="009B48BF">
        <w:rPr>
          <w:rFonts w:ascii="Times New Roman" w:hAnsi="Times New Roman" w:cs="Times New Roman"/>
          <w:color w:val="313131"/>
          <w:sz w:val="20"/>
          <w:szCs w:val="20"/>
        </w:rPr>
        <w:t>Yan Etkileri:</w:t>
      </w:r>
    </w:p>
    <w:p w14:paraId="1CC26E08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Taşikardi</w:t>
      </w:r>
    </w:p>
    <w:p w14:paraId="6A03EBAA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Midriazis</w:t>
      </w:r>
      <w:proofErr w:type="spellEnd"/>
    </w:p>
    <w:p w14:paraId="3374D2E4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Vücut ısısında artış (atropin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fever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>)</w:t>
      </w:r>
    </w:p>
    <w:p w14:paraId="23CB5184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Bronşiyal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sekresyonlar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azalma</w:t>
      </w:r>
    </w:p>
    <w:p w14:paraId="4A0302E1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Gastrointestinal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sistemde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peristaltik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hareketlerde/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sekresyonlarda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azalma,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konstipasyon</w:t>
      </w:r>
      <w:proofErr w:type="spellEnd"/>
    </w:p>
    <w:p w14:paraId="709247FA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36E044A5" w14:textId="77777777" w:rsidR="00293287" w:rsidRPr="009B48BF" w:rsidRDefault="009B48BF">
      <w:pPr>
        <w:rPr>
          <w:rFonts w:ascii="Times New Roman" w:hAnsi="Times New Roman" w:cs="Times New Roman"/>
          <w:sz w:val="20"/>
          <w:szCs w:val="20"/>
        </w:rPr>
      </w:pPr>
      <w:r w:rsidRPr="009B48BF">
        <w:rPr>
          <w:rFonts w:ascii="Times New Roman" w:hAnsi="Times New Roman" w:cs="Times New Roman"/>
          <w:sz w:val="20"/>
          <w:szCs w:val="20"/>
        </w:rPr>
        <w:lastRenderedPageBreak/>
        <w:drawing>
          <wp:inline distT="0" distB="0" distL="0" distR="0" wp14:anchorId="39966B15" wp14:editId="5A96CF42">
            <wp:extent cx="2126942" cy="1594854"/>
            <wp:effectExtent l="0" t="0" r="6985" b="5715"/>
            <wp:docPr id="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665" cy="164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54B64D79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sz w:val="20"/>
          <w:szCs w:val="20"/>
        </w:rPr>
        <w:t>3</w:t>
      </w:r>
      <w:r w:rsidRPr="009B48BF">
        <w:rPr>
          <w:rFonts w:ascii="Times New Roman" w:hAnsi="Times New Roman" w:cs="Times New Roman"/>
          <w:b/>
          <w:sz w:val="20"/>
          <w:szCs w:val="20"/>
        </w:rPr>
        <w:t xml:space="preserve">) </w:t>
      </w:r>
      <w:proofErr w:type="spellStart"/>
      <w:proofErr w:type="gramStart"/>
      <w:r w:rsidRPr="009B48BF">
        <w:rPr>
          <w:rFonts w:ascii="Times New Roman" w:hAnsi="Times New Roman" w:cs="Times New Roman"/>
          <w:b/>
          <w:sz w:val="20"/>
          <w:szCs w:val="20"/>
        </w:rPr>
        <w:t>Antihistaminikler</w:t>
      </w:r>
      <w:proofErr w:type="spellEnd"/>
      <w:r w:rsidRPr="009B48BF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9B48BF">
        <w:rPr>
          <w:rFonts w:ascii="Times New Roman" w:hAnsi="Times New Roman" w:cs="Times New Roman"/>
          <w:b/>
          <w:color w:val="DB6F11"/>
          <w:sz w:val="20"/>
          <w:szCs w:val="20"/>
        </w:rPr>
        <w:t> 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Antihistaminikler</w:t>
      </w:r>
      <w:proofErr w:type="spellEnd"/>
      <w:proofErr w:type="gram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histamin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reseptörlerini bloke ederek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histaminin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etkilerini ortadan kaldırır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. H1 ve H2 reseptörleri vardır.</w:t>
      </w:r>
    </w:p>
    <w:p w14:paraId="70C70B7F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1F110099" w14:textId="77777777" w:rsidR="009B48BF" w:rsidRPr="009B48BF" w:rsidRDefault="009B48B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sz w:val="20"/>
          <w:szCs w:val="20"/>
        </w:rPr>
        <w:t>Histamin</w:t>
      </w:r>
      <w:proofErr w:type="spellEnd"/>
      <w:r w:rsidRPr="009B48BF">
        <w:rPr>
          <w:rFonts w:ascii="Times New Roman" w:hAnsi="Times New Roman" w:cs="Times New Roman"/>
          <w:sz w:val="20"/>
          <w:szCs w:val="20"/>
        </w:rPr>
        <w:t>:</w:t>
      </w:r>
    </w:p>
    <w:p w14:paraId="6A50B1FD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1) KVS</w:t>
      </w:r>
    </w:p>
    <w:p w14:paraId="34C930E5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◦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Vazodilatasyon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(kan basıncında düşme, taşikardi)</w:t>
      </w:r>
    </w:p>
    <w:p w14:paraId="25658FF1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◦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Kapiller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permeabilite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artışı (ödem) </w:t>
      </w:r>
    </w:p>
    <w:p w14:paraId="444FE6B8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2) Solunum sistemi:</w:t>
      </w:r>
    </w:p>
    <w:p w14:paraId="4852F656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◦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Bronşial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düz kaslarda konstrüksiyon (H1)</w:t>
      </w:r>
    </w:p>
    <w:p w14:paraId="31C124C0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◦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H2 reseptörleri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bronkodilatasyon</w:t>
      </w:r>
      <w:proofErr w:type="spellEnd"/>
    </w:p>
    <w:p w14:paraId="59AB959E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3) Dış salgı bezleri:</w:t>
      </w:r>
    </w:p>
    <w:p w14:paraId="2697AD42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◦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Mide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pariyetal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hücrelerde asit salgısı (H2)</w:t>
      </w:r>
    </w:p>
    <w:p w14:paraId="23DE952B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4) Diğer:</w:t>
      </w:r>
    </w:p>
    <w:p w14:paraId="2D0D6472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◦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Bağırsak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tonüsü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artışı (düz kas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konst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>.)</w:t>
      </w:r>
    </w:p>
    <w:p w14:paraId="75D32A60" w14:textId="77777777" w:rsidR="009B48BF" w:rsidRPr="009B48BF" w:rsidRDefault="009B48BF">
      <w:pPr>
        <w:rPr>
          <w:rFonts w:ascii="Times New Roman" w:hAnsi="Times New Roman" w:cs="Times New Roman"/>
          <w:sz w:val="20"/>
          <w:szCs w:val="20"/>
        </w:rPr>
      </w:pPr>
    </w:p>
    <w:p w14:paraId="410D9139" w14:textId="77777777" w:rsidR="009B48BF" w:rsidRPr="009B48BF" w:rsidRDefault="009B48B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sz w:val="20"/>
          <w:szCs w:val="20"/>
        </w:rPr>
        <w:t>Premedikasyonda</w:t>
      </w:r>
      <w:proofErr w:type="spellEnd"/>
      <w:r w:rsidRPr="009B48BF">
        <w:rPr>
          <w:rFonts w:ascii="Times New Roman" w:hAnsi="Times New Roman" w:cs="Times New Roman"/>
          <w:sz w:val="20"/>
          <w:szCs w:val="20"/>
        </w:rPr>
        <w:t xml:space="preserve"> kullanımı:</w:t>
      </w:r>
    </w:p>
    <w:p w14:paraId="4089045C" w14:textId="77777777" w:rsidR="009B48BF" w:rsidRPr="009B48BF" w:rsidRDefault="009B48BF" w:rsidP="009B48B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sz w:val="20"/>
          <w:szCs w:val="20"/>
        </w:rPr>
        <w:t>Sedasyon</w:t>
      </w:r>
      <w:proofErr w:type="spellEnd"/>
    </w:p>
    <w:p w14:paraId="6379104A" w14:textId="77777777" w:rsidR="009B48BF" w:rsidRPr="009B48BF" w:rsidRDefault="009B48BF" w:rsidP="009B48B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sz w:val="20"/>
          <w:szCs w:val="20"/>
        </w:rPr>
        <w:t>Antiemetik</w:t>
      </w:r>
      <w:proofErr w:type="spellEnd"/>
    </w:p>
    <w:p w14:paraId="3672E30A" w14:textId="77777777" w:rsidR="009B48BF" w:rsidRPr="009B48BF" w:rsidRDefault="009B48BF" w:rsidP="009B48B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sz w:val="20"/>
          <w:szCs w:val="20"/>
        </w:rPr>
        <w:t>Bronkodilatasyon</w:t>
      </w:r>
      <w:proofErr w:type="spellEnd"/>
    </w:p>
    <w:p w14:paraId="707CCFA5" w14:textId="77777777" w:rsidR="009B48BF" w:rsidRPr="009B48BF" w:rsidRDefault="009B48BF" w:rsidP="009B48B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B48BF">
        <w:rPr>
          <w:rFonts w:ascii="Times New Roman" w:hAnsi="Times New Roman" w:cs="Times New Roman"/>
          <w:sz w:val="20"/>
          <w:szCs w:val="20"/>
        </w:rPr>
        <w:t>KVS ve solunum sistemi üzerinde minimal etki</w:t>
      </w:r>
    </w:p>
    <w:p w14:paraId="7F36E50C" w14:textId="77777777" w:rsidR="009B48BF" w:rsidRPr="009B48BF" w:rsidRDefault="009B48BF" w:rsidP="009B48BF">
      <w:pPr>
        <w:rPr>
          <w:rFonts w:ascii="Times New Roman" w:hAnsi="Times New Roman" w:cs="Times New Roman"/>
          <w:sz w:val="20"/>
          <w:szCs w:val="20"/>
        </w:rPr>
      </w:pPr>
    </w:p>
    <w:p w14:paraId="77FE0427" w14:textId="77777777" w:rsidR="009B48BF" w:rsidRPr="009B48BF" w:rsidRDefault="009B48BF" w:rsidP="009B48B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9B48BF">
        <w:rPr>
          <w:rFonts w:ascii="Times New Roman" w:hAnsi="Times New Roman" w:cs="Times New Roman"/>
          <w:b/>
          <w:sz w:val="20"/>
          <w:szCs w:val="20"/>
        </w:rPr>
        <w:t>Mide asidini ve volümünü azaltan ilaçlar:</w:t>
      </w:r>
    </w:p>
    <w:p w14:paraId="66F243AD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i/>
          <w:color w:val="313131"/>
          <w:sz w:val="20"/>
          <w:szCs w:val="20"/>
        </w:rPr>
      </w:pPr>
      <w:r w:rsidRPr="009B48BF">
        <w:rPr>
          <w:rFonts w:ascii="Times New Roman" w:hAnsi="Times New Roman" w:cs="Times New Roman"/>
          <w:i/>
          <w:color w:val="313131"/>
          <w:sz w:val="20"/>
          <w:szCs w:val="20"/>
        </w:rPr>
        <w:t>H2 reseptör antagonistleri:</w:t>
      </w:r>
    </w:p>
    <w:p w14:paraId="771B3942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Histaminin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asit salgılatıcı etkisini bloke eder</w:t>
      </w: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(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Gastrin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, yemek,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vagal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uyarı, kafein, psişik refleks)</w:t>
      </w:r>
    </w:p>
    <w:p w14:paraId="6A708B04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313131"/>
          <w:sz w:val="20"/>
          <w:szCs w:val="20"/>
        </w:rPr>
        <w:t>Mide salgısının hacmini ve asit yoğunluğunu azaltır</w:t>
      </w:r>
    </w:p>
    <w:p w14:paraId="7A9203F9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Mide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motilitesi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etkilenmez!</w:t>
      </w:r>
    </w:p>
    <w:p w14:paraId="4EAF5A65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382BC71C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Simetidin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Famotidin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Ranitidin</w:t>
      </w:r>
      <w:proofErr w:type="spellEnd"/>
    </w:p>
    <w:p w14:paraId="02823EAA" w14:textId="77777777" w:rsidR="009B48BF" w:rsidRPr="009B48BF" w:rsidRDefault="009B48BF" w:rsidP="009B48BF">
      <w:pPr>
        <w:rPr>
          <w:rFonts w:ascii="Times New Roman" w:hAnsi="Times New Roman" w:cs="Times New Roman"/>
          <w:sz w:val="20"/>
          <w:szCs w:val="20"/>
        </w:rPr>
      </w:pPr>
    </w:p>
    <w:p w14:paraId="59AAA9CB" w14:textId="77777777" w:rsidR="009B48BF" w:rsidRPr="009B48BF" w:rsidRDefault="009B48BF" w:rsidP="009B48BF">
      <w:pPr>
        <w:rPr>
          <w:rFonts w:ascii="Times New Roman" w:hAnsi="Times New Roman" w:cs="Times New Roman"/>
          <w:i/>
          <w:sz w:val="20"/>
          <w:szCs w:val="20"/>
        </w:rPr>
      </w:pPr>
      <w:r w:rsidRPr="009B48BF">
        <w:rPr>
          <w:rFonts w:ascii="Times New Roman" w:hAnsi="Times New Roman" w:cs="Times New Roman"/>
          <w:i/>
          <w:sz w:val="20"/>
          <w:szCs w:val="20"/>
        </w:rPr>
        <w:t>Antiasitler:</w:t>
      </w:r>
    </w:p>
    <w:p w14:paraId="0340A6C5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İndüksiyondan 15-30 </w:t>
      </w:r>
      <w:proofErr w:type="spellStart"/>
      <w:proofErr w:type="gram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dk</w:t>
      </w:r>
      <w:proofErr w:type="spellEnd"/>
      <w:proofErr w:type="gram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önce uygulanır</w:t>
      </w:r>
    </w:p>
    <w:p w14:paraId="624A8BC3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Mide mukozası tarafından salgılanan asidi nötralize eder</w:t>
      </w:r>
    </w:p>
    <w:p w14:paraId="60E09A85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Mide boşken pH:1 (antiasit ile 3-5)</w:t>
      </w:r>
    </w:p>
    <w:p w14:paraId="2394D9A1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</w:p>
    <w:p w14:paraId="206DABE3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Aspirasyon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riski yüksek hastalarda!</w:t>
      </w:r>
    </w:p>
    <w:p w14:paraId="2A67F85C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Magnezyum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trisilikat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Magnezyum hidroksit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Alüminyum hidroksit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Kalsiyum karbona</w:t>
      </w:r>
      <w:r>
        <w:rPr>
          <w:rFonts w:ascii="Times New Roman" w:hAnsi="Times New Roman" w:cs="Times New Roman"/>
          <w:color w:val="313131"/>
          <w:sz w:val="20"/>
          <w:szCs w:val="20"/>
        </w:rPr>
        <w:t>t,</w:t>
      </w: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Sodyum bikarbonat</w:t>
      </w:r>
    </w:p>
    <w:p w14:paraId="71AFB38A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7C87B854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i/>
          <w:color w:val="000000"/>
          <w:sz w:val="20"/>
          <w:szCs w:val="20"/>
        </w:rPr>
      </w:pPr>
      <w:proofErr w:type="spellStart"/>
      <w:r w:rsidRPr="009B48BF">
        <w:rPr>
          <w:rFonts w:ascii="Times New Roman" w:hAnsi="Times New Roman" w:cs="Times New Roman"/>
          <w:i/>
          <w:color w:val="000000"/>
          <w:sz w:val="20"/>
          <w:szCs w:val="20"/>
        </w:rPr>
        <w:t>Antiemetikler</w:t>
      </w:r>
      <w:proofErr w:type="spellEnd"/>
    </w:p>
    <w:p w14:paraId="7DB770D0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Seratonin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antagonistleri</w:t>
      </w:r>
      <w:r>
        <w:rPr>
          <w:rFonts w:ascii="Times New Roman" w:hAnsi="Times New Roman" w:cs="Times New Roman"/>
          <w:color w:val="313131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313131"/>
          <w:sz w:val="20"/>
          <w:szCs w:val="20"/>
        </w:rPr>
        <w:t>ondansetron</w:t>
      </w:r>
      <w:proofErr w:type="spellEnd"/>
      <w:r>
        <w:rPr>
          <w:rFonts w:ascii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313131"/>
          <w:sz w:val="20"/>
          <w:szCs w:val="20"/>
        </w:rPr>
        <w:t>granisetron</w:t>
      </w:r>
      <w:proofErr w:type="spellEnd"/>
      <w:r>
        <w:rPr>
          <w:rFonts w:ascii="Times New Roman" w:hAnsi="Times New Roman" w:cs="Times New Roman"/>
          <w:color w:val="313131"/>
          <w:sz w:val="20"/>
          <w:szCs w:val="20"/>
        </w:rPr>
        <w:t>)</w:t>
      </w:r>
    </w:p>
    <w:p w14:paraId="016FD6F9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GIS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prokinetikler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(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metoklopromid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>)</w:t>
      </w:r>
    </w:p>
    <w:p w14:paraId="3A96C83A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•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Droperidol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(QT uzaması)</w:t>
      </w:r>
    </w:p>
    <w:p w14:paraId="458C34A2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 </w:t>
      </w:r>
    </w:p>
    <w:p w14:paraId="2ECC0ECF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Ø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Genç yaş</w:t>
      </w:r>
    </w:p>
    <w:p w14:paraId="6560DA83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Ø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Kadın</w:t>
      </w:r>
    </w:p>
    <w:p w14:paraId="4FABC016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Ø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Postoperatif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bulantı, kusma öyküsü</w:t>
      </w:r>
    </w:p>
    <w:p w14:paraId="0AF4E66F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Ø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>Taşıt tutması öyküsü</w:t>
      </w:r>
    </w:p>
    <w:p w14:paraId="7038ED03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9B48BF">
        <w:rPr>
          <w:rFonts w:ascii="Times New Roman" w:hAnsi="Times New Roman" w:cs="Times New Roman"/>
          <w:color w:val="DB6F11"/>
          <w:sz w:val="20"/>
          <w:szCs w:val="20"/>
        </w:rPr>
        <w:t>Ø</w:t>
      </w:r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Gecikmiş </w:t>
      </w:r>
      <w:proofErr w:type="spellStart"/>
      <w:r w:rsidRPr="009B48BF">
        <w:rPr>
          <w:rFonts w:ascii="Times New Roman" w:hAnsi="Times New Roman" w:cs="Times New Roman"/>
          <w:color w:val="313131"/>
          <w:sz w:val="20"/>
          <w:szCs w:val="20"/>
        </w:rPr>
        <w:t>gastrik</w:t>
      </w:r>
      <w:proofErr w:type="spellEnd"/>
      <w:r w:rsidRPr="009B48BF">
        <w:rPr>
          <w:rFonts w:ascii="Times New Roman" w:hAnsi="Times New Roman" w:cs="Times New Roman"/>
          <w:color w:val="313131"/>
          <w:sz w:val="20"/>
          <w:szCs w:val="20"/>
        </w:rPr>
        <w:t xml:space="preserve"> boşalma</w:t>
      </w:r>
    </w:p>
    <w:p w14:paraId="52E9913D" w14:textId="77777777" w:rsidR="009B48BF" w:rsidRPr="009B48BF" w:rsidRDefault="009B48BF" w:rsidP="009B48B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6575A275" w14:textId="77777777" w:rsidR="009B48BF" w:rsidRPr="009B48BF" w:rsidRDefault="009B48BF" w:rsidP="009B48B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B48BF" w:rsidRPr="009B48BF" w:rsidSect="002D5E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5041"/>
    <w:multiLevelType w:val="hybridMultilevel"/>
    <w:tmpl w:val="CB367624"/>
    <w:lvl w:ilvl="0" w:tplc="340ACC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DB6F1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C74AC"/>
    <w:multiLevelType w:val="hybridMultilevel"/>
    <w:tmpl w:val="3668B7BE"/>
    <w:lvl w:ilvl="0" w:tplc="9C6A1E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37FBE"/>
    <w:multiLevelType w:val="hybridMultilevel"/>
    <w:tmpl w:val="3C946806"/>
    <w:lvl w:ilvl="0" w:tplc="041F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87"/>
    <w:rsid w:val="00293287"/>
    <w:rsid w:val="002D5EBD"/>
    <w:rsid w:val="00820EA5"/>
    <w:rsid w:val="009B48BF"/>
    <w:rsid w:val="00A7164D"/>
    <w:rsid w:val="00B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9D9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4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552</Words>
  <Characters>3150</Characters>
  <Application>Microsoft Macintosh Word</Application>
  <DocSecurity>0</DocSecurity>
  <Lines>26</Lines>
  <Paragraphs>7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2018-09-05T11:43:00Z</dcterms:created>
  <dcterms:modified xsi:type="dcterms:W3CDTF">2018-09-05T12:05:00Z</dcterms:modified>
</cp:coreProperties>
</file>