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E4A48" w:rsidRPr="001A2552" w:rsidRDefault="004E4A48" w:rsidP="00BC32DD">
      <w:pPr>
        <w:jc w:val="center"/>
        <w:rPr>
          <w:b/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777B1" w:rsidP="00DB3C8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</w:t>
            </w:r>
            <w:r w:rsidR="000A6377">
              <w:rPr>
                <w:b/>
                <w:bCs/>
                <w:szCs w:val="16"/>
              </w:rPr>
              <w:t>0</w:t>
            </w:r>
            <w:bookmarkStart w:id="0" w:name="_GoBack"/>
            <w:bookmarkEnd w:id="0"/>
            <w:r w:rsidR="00DB3C84">
              <w:rPr>
                <w:b/>
                <w:bCs/>
                <w:szCs w:val="16"/>
              </w:rPr>
              <w:t>477 ORGANİK KİMYADA SENTEZ TASARIMI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KAMRAN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C511E" w:rsidP="001C51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3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3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4849C6" w:rsidRPr="004849C6" w:rsidTr="00E858BF">
        <w:trPr>
          <w:trHeight w:val="5422"/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858BF" w:rsidRDefault="00E858BF" w:rsidP="001B1FF6">
            <w:pPr>
              <w:rPr>
                <w:b/>
                <w:sz w:val="16"/>
              </w:rPr>
            </w:pPr>
          </w:p>
          <w:p w:rsidR="001B1FF6" w:rsidRPr="001B1FF6" w:rsidRDefault="001B1FF6" w:rsidP="001B1FF6">
            <w:pPr>
              <w:rPr>
                <w:b/>
                <w:sz w:val="16"/>
              </w:rPr>
            </w:pPr>
            <w:r w:rsidRPr="001B1FF6">
              <w:rPr>
                <w:b/>
                <w:sz w:val="16"/>
              </w:rPr>
              <w:t>Parçalanma (Bölünme) Tekniğine Giriş</w:t>
            </w:r>
            <w:r w:rsidRPr="001B1FF6">
              <w:rPr>
                <w:sz w:val="16"/>
              </w:rPr>
              <w:t xml:space="preserve">: Geriye doğru olan sentezin tanıtılması, </w:t>
            </w:r>
            <w:proofErr w:type="spellStart"/>
            <w:r w:rsidRPr="001B1FF6">
              <w:rPr>
                <w:sz w:val="16"/>
              </w:rPr>
              <w:t>sinton</w:t>
            </w:r>
            <w:proofErr w:type="spellEnd"/>
            <w:r w:rsidRPr="001B1FF6">
              <w:rPr>
                <w:sz w:val="16"/>
              </w:rPr>
              <w:t>, hedef molekül, eşdeğer reaktif, öncü, reaktif ve fonksiyonlu grup dönüşümleri gibi konuyla ilgili kavramların açıklanması ve örneklerle pekiştirilmesi.</w:t>
            </w:r>
            <w:r w:rsidRPr="001B1FF6">
              <w:rPr>
                <w:b/>
                <w:sz w:val="16"/>
              </w:rPr>
              <w:t xml:space="preserve"> </w:t>
            </w:r>
          </w:p>
          <w:p w:rsidR="001B1FF6" w:rsidRPr="001B1FF6" w:rsidRDefault="001B1FF6" w:rsidP="001B1FF6">
            <w:pPr>
              <w:rPr>
                <w:b/>
                <w:sz w:val="16"/>
              </w:rPr>
            </w:pPr>
            <w:r w:rsidRPr="001B1FF6">
              <w:rPr>
                <w:b/>
                <w:sz w:val="16"/>
              </w:rPr>
              <w:t xml:space="preserve">Tek Grup Parçalanmaları: </w:t>
            </w:r>
            <w:r w:rsidRPr="001B1FF6">
              <w:rPr>
                <w:sz w:val="16"/>
              </w:rPr>
              <w:t>Tek fonksiyonlu grup içeren organik bileşiklerin geriye doğru olan sentezlerinin planında uyulması gerekli kuralların açıklanması ve örnekler üzerinde gösterilmesi.</w:t>
            </w:r>
            <w:r w:rsidRPr="001B1FF6">
              <w:rPr>
                <w:b/>
                <w:sz w:val="16"/>
              </w:rPr>
              <w:t xml:space="preserve"> </w:t>
            </w:r>
          </w:p>
          <w:p w:rsidR="001B1FF6" w:rsidRPr="001B1FF6" w:rsidRDefault="001B1FF6" w:rsidP="001B1FF6">
            <w:pPr>
              <w:rPr>
                <w:sz w:val="16"/>
              </w:rPr>
            </w:pPr>
            <w:r w:rsidRPr="001B1FF6">
              <w:rPr>
                <w:b/>
                <w:sz w:val="16"/>
              </w:rPr>
              <w:t>İki Grup Parçalanmaları</w:t>
            </w:r>
            <w:proofErr w:type="gramStart"/>
            <w:r w:rsidRPr="001B1FF6">
              <w:rPr>
                <w:b/>
                <w:sz w:val="16"/>
              </w:rPr>
              <w:t>:</w:t>
            </w:r>
            <w:r w:rsidRPr="001B1FF6">
              <w:rPr>
                <w:sz w:val="16"/>
              </w:rPr>
              <w:t>.</w:t>
            </w:r>
            <w:proofErr w:type="gramEnd"/>
            <w:r w:rsidRPr="001B1FF6">
              <w:rPr>
                <w:sz w:val="16"/>
              </w:rPr>
              <w:t xml:space="preserve"> İki fonksiyonlu grup içeren organik bileşiklerin geriye doğru olan sentezlerinin tasarlanmasında uyulması gerekli kuralların açıklanması ve örnekler üzerinde gösterilmesi.</w:t>
            </w:r>
          </w:p>
          <w:p w:rsidR="001B1FF6" w:rsidRPr="001B1FF6" w:rsidRDefault="001B1FF6" w:rsidP="001B1FF6">
            <w:pPr>
              <w:rPr>
                <w:sz w:val="16"/>
              </w:rPr>
            </w:pPr>
            <w:r w:rsidRPr="001B1FF6">
              <w:rPr>
                <w:b/>
                <w:sz w:val="16"/>
              </w:rPr>
              <w:t>Mantıksız İki Grup Parçalanmaları:</w:t>
            </w:r>
            <w:r w:rsidRPr="001B1FF6">
              <w:rPr>
                <w:sz w:val="16"/>
              </w:rPr>
              <w:t xml:space="preserve"> Kurala uymayan mantıksız iki grup parçalanmaları yapılarak planlanan geriye doğru sentezlerin tanıtılması ve örnekler üzerinde anlatılması.</w:t>
            </w:r>
          </w:p>
          <w:p w:rsidR="001B1FF6" w:rsidRPr="001B1FF6" w:rsidRDefault="001B1FF6" w:rsidP="001B1FF6">
            <w:pPr>
              <w:rPr>
                <w:sz w:val="16"/>
              </w:rPr>
            </w:pPr>
            <w:r w:rsidRPr="001B1FF6">
              <w:rPr>
                <w:b/>
                <w:sz w:val="16"/>
              </w:rPr>
              <w:t>Genel Problemler:</w:t>
            </w:r>
            <w:r w:rsidRPr="001B1FF6">
              <w:rPr>
                <w:sz w:val="16"/>
              </w:rPr>
              <w:t xml:space="preserve"> Öğrenilen bilgilerin pekiştirilmesi amacıyla, buraya kadar anlatılan geriye doğru sentez yöntemleri ile ilgili problemlerin çözülmesi.</w:t>
            </w:r>
          </w:p>
          <w:p w:rsidR="001B1FF6" w:rsidRDefault="001B1FF6" w:rsidP="001B1FF6">
            <w:pPr>
              <w:rPr>
                <w:sz w:val="16"/>
              </w:rPr>
            </w:pPr>
            <w:r w:rsidRPr="001B1FF6">
              <w:rPr>
                <w:b/>
                <w:sz w:val="16"/>
              </w:rPr>
              <w:t xml:space="preserve">Aromatik Bileşikler: </w:t>
            </w:r>
            <w:r w:rsidRPr="001B1FF6">
              <w:rPr>
                <w:sz w:val="16"/>
              </w:rPr>
              <w:t>Aromatik bileşiklerin geriye doğru sentezinde uyulacak kurallar ve yöntemler</w:t>
            </w:r>
            <w:r>
              <w:rPr>
                <w:sz w:val="16"/>
              </w:rPr>
              <w:t>.</w:t>
            </w:r>
          </w:p>
          <w:p w:rsidR="001B1FF6" w:rsidRPr="001B1FF6" w:rsidRDefault="001B1FF6" w:rsidP="001B1FF6">
            <w:pPr>
              <w:rPr>
                <w:sz w:val="16"/>
              </w:rPr>
            </w:pPr>
            <w:proofErr w:type="spellStart"/>
            <w:r w:rsidRPr="001B1FF6">
              <w:rPr>
                <w:b/>
                <w:sz w:val="16"/>
              </w:rPr>
              <w:t>Perisiklik</w:t>
            </w:r>
            <w:proofErr w:type="spellEnd"/>
            <w:r w:rsidRPr="001B1FF6">
              <w:rPr>
                <w:b/>
                <w:sz w:val="16"/>
              </w:rPr>
              <w:t xml:space="preserve"> Reaksiyonlar:</w:t>
            </w:r>
            <w:r w:rsidRPr="001B1FF6">
              <w:rPr>
                <w:sz w:val="16"/>
              </w:rPr>
              <w:t xml:space="preserve"> </w:t>
            </w:r>
            <w:proofErr w:type="spellStart"/>
            <w:r w:rsidRPr="001B1FF6">
              <w:rPr>
                <w:sz w:val="16"/>
              </w:rPr>
              <w:t>Pe</w:t>
            </w:r>
            <w:r>
              <w:rPr>
                <w:sz w:val="16"/>
              </w:rPr>
              <w:t>ri</w:t>
            </w:r>
            <w:r w:rsidRPr="001B1FF6">
              <w:rPr>
                <w:sz w:val="16"/>
              </w:rPr>
              <w:t>siklik</w:t>
            </w:r>
            <w:proofErr w:type="spellEnd"/>
            <w:r w:rsidRPr="001B1FF6">
              <w:rPr>
                <w:sz w:val="16"/>
              </w:rPr>
              <w:t xml:space="preserve"> reaksiyonların tanımı, sınıflandırılması ve geriye doğru sentezlerinin yapılması için uygulanan yöntemlerin anlatılması.</w:t>
            </w:r>
            <w:r w:rsidRPr="001B1FF6">
              <w:rPr>
                <w:b/>
                <w:sz w:val="16"/>
              </w:rPr>
              <w:t xml:space="preserve"> </w:t>
            </w:r>
          </w:p>
          <w:p w:rsidR="001B1FF6" w:rsidRPr="001B1FF6" w:rsidRDefault="001B1FF6" w:rsidP="001B1FF6">
            <w:pPr>
              <w:rPr>
                <w:b/>
                <w:sz w:val="16"/>
              </w:rPr>
            </w:pPr>
            <w:proofErr w:type="spellStart"/>
            <w:r w:rsidRPr="001B1FF6">
              <w:rPr>
                <w:b/>
                <w:sz w:val="16"/>
              </w:rPr>
              <w:t>Hetero</w:t>
            </w:r>
            <w:proofErr w:type="spellEnd"/>
            <w:r w:rsidRPr="001B1FF6">
              <w:rPr>
                <w:b/>
                <w:sz w:val="16"/>
              </w:rPr>
              <w:t xml:space="preserve"> atom ve </w:t>
            </w:r>
            <w:proofErr w:type="spellStart"/>
            <w:r w:rsidRPr="001B1FF6">
              <w:rPr>
                <w:b/>
                <w:sz w:val="16"/>
              </w:rPr>
              <w:t>heterosiklik</w:t>
            </w:r>
            <w:proofErr w:type="spellEnd"/>
            <w:r w:rsidRPr="001B1FF6">
              <w:rPr>
                <w:b/>
                <w:sz w:val="16"/>
              </w:rPr>
              <w:t xml:space="preserve"> </w:t>
            </w:r>
            <w:proofErr w:type="spellStart"/>
            <w:r w:rsidRPr="001B1FF6">
              <w:rPr>
                <w:b/>
                <w:sz w:val="16"/>
              </w:rPr>
              <w:t>bilesikler</w:t>
            </w:r>
            <w:proofErr w:type="spellEnd"/>
            <w:r w:rsidRPr="001B1FF6">
              <w:rPr>
                <w:sz w:val="16"/>
              </w:rPr>
              <w:t xml:space="preserve">: Diğer </w:t>
            </w:r>
            <w:proofErr w:type="spellStart"/>
            <w:r w:rsidRPr="001B1FF6">
              <w:rPr>
                <w:sz w:val="16"/>
              </w:rPr>
              <w:t>hetero</w:t>
            </w:r>
            <w:proofErr w:type="spellEnd"/>
            <w:r w:rsidRPr="001B1FF6">
              <w:rPr>
                <w:sz w:val="16"/>
              </w:rPr>
              <w:t xml:space="preserve"> atom içeren organik bileşikler ile </w:t>
            </w:r>
            <w:proofErr w:type="spellStart"/>
            <w:r w:rsidRPr="001B1FF6">
              <w:rPr>
                <w:sz w:val="16"/>
              </w:rPr>
              <w:t>heterosiklik</w:t>
            </w:r>
            <w:proofErr w:type="spellEnd"/>
            <w:r w:rsidRPr="001B1FF6">
              <w:rPr>
                <w:sz w:val="16"/>
              </w:rPr>
              <w:t xml:space="preserve"> bileşiklerin geriye doğru sentezlerinin tasarlanması ve gerekli kuralların açıklanması.</w:t>
            </w:r>
            <w:r w:rsidRPr="001B1FF6">
              <w:rPr>
                <w:b/>
                <w:sz w:val="16"/>
              </w:rPr>
              <w:t xml:space="preserve"> </w:t>
            </w:r>
          </w:p>
          <w:p w:rsidR="001B1FF6" w:rsidRPr="001B1FF6" w:rsidRDefault="001B1FF6" w:rsidP="001B1FF6">
            <w:pPr>
              <w:rPr>
                <w:sz w:val="16"/>
              </w:rPr>
            </w:pPr>
            <w:r w:rsidRPr="001B1FF6">
              <w:rPr>
                <w:b/>
                <w:sz w:val="16"/>
              </w:rPr>
              <w:t>Problemle</w:t>
            </w:r>
            <w:r w:rsidRPr="001B1FF6">
              <w:rPr>
                <w:sz w:val="16"/>
              </w:rPr>
              <w:t xml:space="preserve">r: </w:t>
            </w:r>
            <w:proofErr w:type="spellStart"/>
            <w:r w:rsidRPr="001B1FF6">
              <w:rPr>
                <w:sz w:val="16"/>
              </w:rPr>
              <w:t>Perisiklik</w:t>
            </w:r>
            <w:proofErr w:type="spellEnd"/>
            <w:r w:rsidRPr="001B1FF6">
              <w:rPr>
                <w:sz w:val="16"/>
              </w:rPr>
              <w:t xml:space="preserve"> reaksiyonlar ile </w:t>
            </w:r>
            <w:proofErr w:type="spellStart"/>
            <w:r w:rsidRPr="001B1FF6">
              <w:rPr>
                <w:sz w:val="16"/>
              </w:rPr>
              <w:t>hetero</w:t>
            </w:r>
            <w:proofErr w:type="spellEnd"/>
            <w:r w:rsidRPr="001B1FF6">
              <w:rPr>
                <w:sz w:val="16"/>
              </w:rPr>
              <w:t xml:space="preserve"> atom ve </w:t>
            </w:r>
            <w:proofErr w:type="spellStart"/>
            <w:r w:rsidRPr="001B1FF6">
              <w:rPr>
                <w:sz w:val="16"/>
              </w:rPr>
              <w:t>hetorosiklik</w:t>
            </w:r>
            <w:proofErr w:type="spellEnd"/>
            <w:r w:rsidRPr="001B1FF6">
              <w:rPr>
                <w:sz w:val="16"/>
              </w:rPr>
              <w:t xml:space="preserve"> bileşiklerin geriye doğru sentezleri için örnek problemler.</w:t>
            </w:r>
          </w:p>
          <w:p w:rsidR="001B1FF6" w:rsidRPr="00F65478" w:rsidRDefault="001B1FF6" w:rsidP="00F02A84">
            <w:pPr>
              <w:spacing w:before="60" w:after="60"/>
              <w:rPr>
                <w:b/>
                <w:sz w:val="16"/>
              </w:rPr>
            </w:pP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849C6" w:rsidRPr="002F5E73" w:rsidRDefault="001B1FF6" w:rsidP="00306A1B">
            <w:pPr>
              <w:spacing w:before="60" w:after="60"/>
            </w:pPr>
            <w:r w:rsidRPr="001B1FF6">
              <w:rPr>
                <w:sz w:val="16"/>
              </w:rPr>
              <w:t xml:space="preserve">Organik bileşiklerin sentezinin; çeşitli çıkış maddeleri ve reaktifler kullanılarak yapılan bilinen klasik sentez yöntemlerin aksine, hedef molekülden geriye doğru onu oluşturan öncülere basamak </w:t>
            </w:r>
            <w:proofErr w:type="spellStart"/>
            <w:r w:rsidRPr="001B1FF6">
              <w:rPr>
                <w:sz w:val="16"/>
              </w:rPr>
              <w:t>basamak</w:t>
            </w:r>
            <w:proofErr w:type="spellEnd"/>
            <w:r w:rsidRPr="001B1FF6">
              <w:rPr>
                <w:sz w:val="16"/>
              </w:rPr>
              <w:t xml:space="preserve"> gidilen ve geriye doğru sentez veya </w:t>
            </w:r>
            <w:proofErr w:type="spellStart"/>
            <w:r w:rsidRPr="001B1FF6">
              <w:rPr>
                <w:sz w:val="16"/>
              </w:rPr>
              <w:t>retrosentez</w:t>
            </w:r>
            <w:proofErr w:type="spellEnd"/>
            <w:r w:rsidRPr="001B1FF6">
              <w:rPr>
                <w:sz w:val="16"/>
              </w:rPr>
              <w:t xml:space="preserve"> olarak adlandırılan </w:t>
            </w:r>
            <w:proofErr w:type="gramStart"/>
            <w:r w:rsidRPr="001B1FF6">
              <w:rPr>
                <w:sz w:val="16"/>
              </w:rPr>
              <w:t>bir  yöntemle</w:t>
            </w:r>
            <w:proofErr w:type="gramEnd"/>
            <w:r w:rsidRPr="001B1FF6">
              <w:rPr>
                <w:sz w:val="16"/>
              </w:rPr>
              <w:t xml:space="preserve"> gerçekleştirilmesi için gerekli olan kuralları ve yolları incelemek.</w:t>
            </w: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849C6" w:rsidRPr="00B25B0F" w:rsidRDefault="006E7CAD" w:rsidP="009D3828">
            <w:pPr>
              <w:spacing w:before="60" w:after="60"/>
              <w:rPr>
                <w:sz w:val="16"/>
              </w:rPr>
            </w:pPr>
            <w:r w:rsidRPr="00B25B0F">
              <w:rPr>
                <w:sz w:val="16"/>
              </w:rPr>
              <w:t>14 HAFTA</w:t>
            </w: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849C6" w:rsidRPr="00B25B0F" w:rsidRDefault="006E7CAD" w:rsidP="009D3828">
            <w:pPr>
              <w:tabs>
                <w:tab w:val="left" w:pos="2770"/>
              </w:tabs>
              <w:spacing w:before="60" w:after="60"/>
              <w:rPr>
                <w:sz w:val="16"/>
              </w:rPr>
            </w:pPr>
            <w:r w:rsidRPr="00B25B0F">
              <w:rPr>
                <w:sz w:val="16"/>
              </w:rPr>
              <w:t>TÜRKÇE</w:t>
            </w: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849C6" w:rsidRPr="00B25B0F" w:rsidRDefault="006E7CAD" w:rsidP="009D3828">
            <w:pPr>
              <w:tabs>
                <w:tab w:val="left" w:pos="2770"/>
              </w:tabs>
              <w:spacing w:before="60" w:after="60"/>
              <w:rPr>
                <w:sz w:val="16"/>
              </w:rPr>
            </w:pPr>
            <w:r w:rsidRPr="00B25B0F">
              <w:rPr>
                <w:sz w:val="16"/>
              </w:rPr>
              <w:t>YOK</w:t>
            </w:r>
          </w:p>
        </w:tc>
      </w:tr>
      <w:tr w:rsidR="004849C6" w:rsidRPr="001A2552" w:rsidTr="00E858BF">
        <w:trPr>
          <w:trHeight w:val="698"/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858BF" w:rsidRPr="00E858BF" w:rsidRDefault="00E858BF" w:rsidP="00E858BF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lang w:val="en-GB"/>
              </w:rPr>
            </w:pPr>
            <w:proofErr w:type="spellStart"/>
            <w:r w:rsidRPr="00E858BF">
              <w:rPr>
                <w:sz w:val="16"/>
              </w:rPr>
              <w:t>Designing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Organic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Syntheses</w:t>
            </w:r>
            <w:proofErr w:type="spellEnd"/>
            <w:r w:rsidRPr="00E858BF">
              <w:rPr>
                <w:sz w:val="16"/>
              </w:rPr>
              <w:t xml:space="preserve">; A </w:t>
            </w:r>
            <w:proofErr w:type="spellStart"/>
            <w:r w:rsidRPr="00E858BF">
              <w:rPr>
                <w:sz w:val="16"/>
              </w:rPr>
              <w:t>Programmed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Introduction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to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the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Synthon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Approach</w:t>
            </w:r>
            <w:proofErr w:type="spellEnd"/>
            <w:r w:rsidRPr="00E858BF">
              <w:rPr>
                <w:sz w:val="16"/>
              </w:rPr>
              <w:t xml:space="preserve">. </w:t>
            </w:r>
            <w:proofErr w:type="spellStart"/>
            <w:r w:rsidRPr="00E858BF">
              <w:rPr>
                <w:sz w:val="16"/>
              </w:rPr>
              <w:t>Stuart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Warren</w:t>
            </w:r>
            <w:proofErr w:type="spellEnd"/>
            <w:r w:rsidRPr="00E858BF">
              <w:rPr>
                <w:sz w:val="16"/>
              </w:rPr>
              <w:t xml:space="preserve">, 1978, </w:t>
            </w:r>
            <w:proofErr w:type="spellStart"/>
            <w:r w:rsidRPr="00E858BF">
              <w:rPr>
                <w:sz w:val="16"/>
              </w:rPr>
              <w:t>Wiley</w:t>
            </w:r>
            <w:proofErr w:type="spellEnd"/>
            <w:r w:rsidRPr="00E858BF">
              <w:rPr>
                <w:sz w:val="16"/>
              </w:rPr>
              <w:t xml:space="preserve">. </w:t>
            </w:r>
          </w:p>
          <w:p w:rsidR="00E858BF" w:rsidRPr="00E858BF" w:rsidRDefault="00E858BF" w:rsidP="00E858BF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Organic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Synthesis</w:t>
            </w:r>
            <w:proofErr w:type="spellEnd"/>
            <w:r w:rsidRPr="00E858BF">
              <w:rPr>
                <w:sz w:val="16"/>
              </w:rPr>
              <w:t xml:space="preserve">: </w:t>
            </w:r>
            <w:proofErr w:type="spellStart"/>
            <w:r w:rsidRPr="00E858BF">
              <w:rPr>
                <w:sz w:val="16"/>
              </w:rPr>
              <w:t>The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Disconnection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Approach</w:t>
            </w:r>
            <w:proofErr w:type="spellEnd"/>
            <w:r w:rsidRPr="00E858BF">
              <w:rPr>
                <w:sz w:val="16"/>
              </w:rPr>
              <w:t xml:space="preserve">, </w:t>
            </w:r>
            <w:proofErr w:type="spellStart"/>
            <w:r w:rsidRPr="00E858BF">
              <w:rPr>
                <w:sz w:val="16"/>
              </w:rPr>
              <w:t>Warren</w:t>
            </w:r>
            <w:proofErr w:type="spellEnd"/>
            <w:r w:rsidRPr="00E858BF">
              <w:rPr>
                <w:sz w:val="16"/>
              </w:rPr>
              <w:t xml:space="preserve">, S. and </w:t>
            </w:r>
            <w:proofErr w:type="spellStart"/>
            <w:r w:rsidRPr="00E858BF">
              <w:rPr>
                <w:sz w:val="16"/>
              </w:rPr>
              <w:t>Wyatt</w:t>
            </w:r>
            <w:proofErr w:type="spellEnd"/>
            <w:r w:rsidRPr="00E858BF">
              <w:rPr>
                <w:sz w:val="16"/>
              </w:rPr>
              <w:t xml:space="preserve">, P. Second </w:t>
            </w:r>
            <w:proofErr w:type="spellStart"/>
            <w:r w:rsidRPr="00E858BF">
              <w:rPr>
                <w:sz w:val="16"/>
              </w:rPr>
              <w:t>edition</w:t>
            </w:r>
            <w:proofErr w:type="spellEnd"/>
            <w:r w:rsidRPr="00E858BF">
              <w:rPr>
                <w:sz w:val="16"/>
              </w:rPr>
              <w:t xml:space="preserve">, 2008, </w:t>
            </w:r>
            <w:proofErr w:type="spellStart"/>
            <w:r w:rsidRPr="00E858BF">
              <w:rPr>
                <w:sz w:val="16"/>
              </w:rPr>
              <w:t>Wiley</w:t>
            </w:r>
            <w:proofErr w:type="spellEnd"/>
            <w:r w:rsidRPr="00E858BF">
              <w:rPr>
                <w:sz w:val="16"/>
              </w:rPr>
              <w:t>.</w:t>
            </w:r>
          </w:p>
          <w:p w:rsidR="00E858BF" w:rsidRPr="00E858BF" w:rsidRDefault="00E858BF" w:rsidP="00E858BF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proofErr w:type="spellStart"/>
            <w:r w:rsidRPr="00E858BF">
              <w:rPr>
                <w:sz w:val="16"/>
              </w:rPr>
              <w:t>Organic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Synthesis</w:t>
            </w:r>
            <w:proofErr w:type="spellEnd"/>
            <w:r w:rsidRPr="00E858BF">
              <w:rPr>
                <w:sz w:val="16"/>
              </w:rPr>
              <w:t xml:space="preserve">: </w:t>
            </w:r>
            <w:proofErr w:type="spellStart"/>
            <w:r w:rsidRPr="00E858BF">
              <w:rPr>
                <w:sz w:val="16"/>
              </w:rPr>
              <w:t>The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Disconnection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Approach</w:t>
            </w:r>
            <w:proofErr w:type="spellEnd"/>
            <w:r w:rsidRPr="00E858BF">
              <w:rPr>
                <w:sz w:val="16"/>
              </w:rPr>
              <w:t xml:space="preserve">, </w:t>
            </w:r>
            <w:proofErr w:type="spellStart"/>
            <w:r w:rsidRPr="00E858BF">
              <w:rPr>
                <w:sz w:val="16"/>
              </w:rPr>
              <w:t>Warren</w:t>
            </w:r>
            <w:proofErr w:type="spellEnd"/>
            <w:r w:rsidRPr="00E858BF">
              <w:rPr>
                <w:sz w:val="16"/>
              </w:rPr>
              <w:t xml:space="preserve">, S. 1982, </w:t>
            </w:r>
            <w:proofErr w:type="spellStart"/>
            <w:r w:rsidRPr="00E858BF">
              <w:rPr>
                <w:sz w:val="16"/>
              </w:rPr>
              <w:t>Wiley</w:t>
            </w:r>
            <w:proofErr w:type="spellEnd"/>
            <w:r w:rsidRPr="00E858BF">
              <w:rPr>
                <w:sz w:val="16"/>
              </w:rPr>
              <w:t>.</w:t>
            </w:r>
          </w:p>
          <w:p w:rsidR="00E858BF" w:rsidRPr="00E858BF" w:rsidRDefault="00E858BF" w:rsidP="00E858BF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proofErr w:type="spellStart"/>
            <w:r w:rsidRPr="00E858BF">
              <w:rPr>
                <w:sz w:val="16"/>
              </w:rPr>
              <w:t>Workbook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for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Organic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Synthesis</w:t>
            </w:r>
            <w:proofErr w:type="spellEnd"/>
            <w:r w:rsidRPr="00E858BF">
              <w:rPr>
                <w:sz w:val="16"/>
              </w:rPr>
              <w:t xml:space="preserve">, </w:t>
            </w:r>
            <w:proofErr w:type="spellStart"/>
            <w:r w:rsidRPr="00E858BF">
              <w:rPr>
                <w:sz w:val="16"/>
              </w:rPr>
              <w:t>The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Disconnection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Approach</w:t>
            </w:r>
            <w:proofErr w:type="spellEnd"/>
            <w:r w:rsidRPr="00E858BF">
              <w:rPr>
                <w:sz w:val="16"/>
              </w:rPr>
              <w:t xml:space="preserve">, </w:t>
            </w:r>
            <w:proofErr w:type="spellStart"/>
            <w:r w:rsidRPr="00E858BF">
              <w:rPr>
                <w:sz w:val="16"/>
              </w:rPr>
              <w:t>Warren</w:t>
            </w:r>
            <w:proofErr w:type="spellEnd"/>
            <w:r w:rsidRPr="00E858BF">
              <w:rPr>
                <w:sz w:val="16"/>
              </w:rPr>
              <w:t xml:space="preserve">, S.1982, </w:t>
            </w:r>
            <w:proofErr w:type="spellStart"/>
            <w:r w:rsidRPr="00E858BF">
              <w:rPr>
                <w:sz w:val="16"/>
              </w:rPr>
              <w:t>Wiley</w:t>
            </w:r>
            <w:proofErr w:type="spellEnd"/>
            <w:r w:rsidRPr="00E858BF">
              <w:rPr>
                <w:sz w:val="16"/>
              </w:rPr>
              <w:t>.</w:t>
            </w:r>
          </w:p>
          <w:p w:rsidR="00E858BF" w:rsidRPr="00E858BF" w:rsidRDefault="00E858BF" w:rsidP="00E858BF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proofErr w:type="spellStart"/>
            <w:r w:rsidRPr="00E858BF">
              <w:rPr>
                <w:sz w:val="16"/>
              </w:rPr>
              <w:t>Writing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Reaction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Mechanism</w:t>
            </w:r>
            <w:proofErr w:type="spellEnd"/>
            <w:r w:rsidRPr="00E858BF">
              <w:rPr>
                <w:sz w:val="16"/>
              </w:rPr>
              <w:t xml:space="preserve"> in </w:t>
            </w:r>
            <w:proofErr w:type="spellStart"/>
            <w:r w:rsidRPr="00E858BF">
              <w:rPr>
                <w:sz w:val="16"/>
              </w:rPr>
              <w:t>Organic</w:t>
            </w:r>
            <w:proofErr w:type="spellEnd"/>
            <w:r w:rsidRPr="00E858BF">
              <w:rPr>
                <w:sz w:val="16"/>
              </w:rPr>
              <w:t xml:space="preserve"> </w:t>
            </w:r>
            <w:proofErr w:type="spellStart"/>
            <w:r w:rsidRPr="00E858BF">
              <w:rPr>
                <w:sz w:val="16"/>
              </w:rPr>
              <w:t>Chemistry</w:t>
            </w:r>
            <w:proofErr w:type="spellEnd"/>
            <w:r w:rsidRPr="00E858BF">
              <w:rPr>
                <w:sz w:val="16"/>
              </w:rPr>
              <w:t>, Miller, A. and Solomon P.H.</w:t>
            </w:r>
            <w:r w:rsidRPr="00E858BF">
              <w:rPr>
                <w:sz w:val="16"/>
                <w:lang w:val="en-GB" w:eastAsia="en-GB"/>
              </w:rPr>
              <w:t xml:space="preserve"> Elsevier 1999, Science &amp; Technology Books.</w:t>
            </w:r>
          </w:p>
          <w:p w:rsidR="00E858BF" w:rsidRPr="00E858BF" w:rsidRDefault="00E858BF" w:rsidP="00E858BF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r w:rsidRPr="00E858BF">
              <w:rPr>
                <w:sz w:val="16"/>
                <w:lang w:val="en-GB" w:eastAsia="en-GB"/>
              </w:rPr>
              <w:t>Design of Organic Synthesis: Part I.</w:t>
            </w:r>
            <w:r w:rsidRPr="00E858BF">
              <w:rPr>
                <w:rFonts w:ascii="ComicSansMS" w:hAnsi="ComicSansMS" w:cs="ComicSansMS"/>
                <w:sz w:val="16"/>
                <w:lang w:val="en-GB" w:eastAsia="en-GB"/>
              </w:rPr>
              <w:t xml:space="preserve"> </w:t>
            </w:r>
            <w:r w:rsidRPr="00E858BF">
              <w:rPr>
                <w:sz w:val="16"/>
                <w:lang w:val="en-GB" w:eastAsia="en-GB"/>
              </w:rPr>
              <w:t>Postgraduate Programme in Organic Chemistry</w:t>
            </w:r>
            <w:proofErr w:type="gramStart"/>
            <w:r w:rsidRPr="00E858BF">
              <w:rPr>
                <w:sz w:val="16"/>
                <w:lang w:val="en-GB" w:eastAsia="en-GB"/>
              </w:rPr>
              <w:t>,2003</w:t>
            </w:r>
            <w:proofErr w:type="gramEnd"/>
            <w:r w:rsidRPr="00E858BF">
              <w:rPr>
                <w:sz w:val="16"/>
                <w:lang w:val="en-GB" w:eastAsia="en-GB"/>
              </w:rPr>
              <w:t xml:space="preserve">–2004, </w:t>
            </w:r>
            <w:proofErr w:type="spellStart"/>
            <w:r w:rsidRPr="00E858BF">
              <w:rPr>
                <w:sz w:val="16"/>
                <w:lang w:val="en-GB" w:eastAsia="en-GB"/>
              </w:rPr>
              <w:t>Departament</w:t>
            </w:r>
            <w:proofErr w:type="spellEnd"/>
            <w:r w:rsidRPr="00E858BF">
              <w:rPr>
                <w:sz w:val="16"/>
                <w:lang w:val="en-GB" w:eastAsia="en-GB"/>
              </w:rPr>
              <w:t xml:space="preserve"> de </w:t>
            </w:r>
            <w:proofErr w:type="spellStart"/>
            <w:r w:rsidRPr="00E858BF">
              <w:rPr>
                <w:sz w:val="16"/>
                <w:lang w:val="en-GB" w:eastAsia="en-GB"/>
              </w:rPr>
              <w:t>Química</w:t>
            </w:r>
            <w:proofErr w:type="spellEnd"/>
            <w:r w:rsidRPr="00E858BF">
              <w:rPr>
                <w:sz w:val="16"/>
                <w:lang w:val="en-GB" w:eastAsia="en-GB"/>
              </w:rPr>
              <w:t xml:space="preserve"> </w:t>
            </w:r>
            <w:proofErr w:type="spellStart"/>
            <w:r w:rsidRPr="00E858BF">
              <w:rPr>
                <w:sz w:val="16"/>
                <w:lang w:val="en-GB" w:eastAsia="en-GB"/>
              </w:rPr>
              <w:t>OrgànicaUniversitat</w:t>
            </w:r>
            <w:proofErr w:type="spellEnd"/>
            <w:r w:rsidRPr="00E858BF">
              <w:rPr>
                <w:sz w:val="16"/>
                <w:lang w:val="en-GB" w:eastAsia="en-GB"/>
              </w:rPr>
              <w:t xml:space="preserve"> de Barcelona.</w:t>
            </w:r>
          </w:p>
          <w:p w:rsidR="004849C6" w:rsidRPr="00E858BF" w:rsidRDefault="00E858BF" w:rsidP="00E858BF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r w:rsidRPr="00E858BF">
              <w:rPr>
                <w:sz w:val="16"/>
                <w:lang w:val="en-GB" w:eastAsia="en-GB"/>
              </w:rPr>
              <w:lastRenderedPageBreak/>
              <w:t xml:space="preserve">Organic Chemistry, </w:t>
            </w:r>
            <w:proofErr w:type="spellStart"/>
            <w:r w:rsidRPr="00E858BF">
              <w:rPr>
                <w:sz w:val="16"/>
                <w:lang w:val="en-GB" w:eastAsia="en-GB"/>
              </w:rPr>
              <w:t>Clayden</w:t>
            </w:r>
            <w:proofErr w:type="spellEnd"/>
            <w:r w:rsidRPr="00E858BF">
              <w:rPr>
                <w:sz w:val="16"/>
                <w:lang w:val="en-GB" w:eastAsia="en-GB"/>
              </w:rPr>
              <w:t xml:space="preserve">, Greeves, Warren and </w:t>
            </w:r>
            <w:proofErr w:type="spellStart"/>
            <w:r w:rsidRPr="00E858BF">
              <w:rPr>
                <w:sz w:val="16"/>
                <w:lang w:val="en-GB" w:eastAsia="en-GB"/>
              </w:rPr>
              <w:t>Wothers</w:t>
            </w:r>
            <w:proofErr w:type="spellEnd"/>
            <w:r w:rsidRPr="00E858BF">
              <w:rPr>
                <w:sz w:val="16"/>
                <w:lang w:val="en-GB" w:eastAsia="en-GB"/>
              </w:rPr>
              <w:t>, 1994, Oxford</w:t>
            </w:r>
            <w:r>
              <w:rPr>
                <w:sz w:val="16"/>
                <w:lang w:val="en-GB" w:eastAsia="en-GB"/>
              </w:rPr>
              <w:t>.</w:t>
            </w:r>
          </w:p>
          <w:p w:rsidR="00E858BF" w:rsidRPr="00E858BF" w:rsidRDefault="00E858BF" w:rsidP="00E858BF">
            <w:pPr>
              <w:spacing w:before="60" w:after="60"/>
              <w:ind w:left="446"/>
              <w:rPr>
                <w:sz w:val="16"/>
              </w:rPr>
            </w:pPr>
          </w:p>
        </w:tc>
      </w:tr>
      <w:tr w:rsidR="004849C6" w:rsidRPr="001A2552" w:rsidTr="00363D29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:rsidR="004849C6" w:rsidRPr="00B25B0F" w:rsidRDefault="000E1A24" w:rsidP="00B25B0F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25B0F">
              <w:rPr>
                <w:sz w:val="16"/>
                <w:szCs w:val="16"/>
              </w:rPr>
              <w:t xml:space="preserve"> (</w:t>
            </w:r>
            <w:r w:rsidR="009376CB" w:rsidRPr="00B25B0F">
              <w:rPr>
                <w:sz w:val="16"/>
                <w:szCs w:val="16"/>
              </w:rPr>
              <w:t>AKTS</w:t>
            </w:r>
            <w:r w:rsidR="00B25B0F">
              <w:rPr>
                <w:sz w:val="16"/>
                <w:szCs w:val="16"/>
              </w:rPr>
              <w:t>)</w:t>
            </w:r>
          </w:p>
        </w:tc>
      </w:tr>
      <w:tr w:rsidR="004849C6" w:rsidRPr="001A2552" w:rsidTr="00363D29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4849C6" w:rsidRPr="00B25B0F" w:rsidRDefault="009376CB" w:rsidP="009D3828">
            <w:pPr>
              <w:tabs>
                <w:tab w:val="left" w:pos="2770"/>
              </w:tabs>
              <w:spacing w:before="60" w:after="60"/>
              <w:rPr>
                <w:sz w:val="16"/>
                <w:szCs w:val="16"/>
              </w:rPr>
            </w:pPr>
            <w:r w:rsidRPr="00B25B0F">
              <w:rPr>
                <w:sz w:val="16"/>
                <w:szCs w:val="16"/>
              </w:rPr>
              <w:t>YOK</w:t>
            </w:r>
          </w:p>
        </w:tc>
      </w:tr>
      <w:tr w:rsidR="004849C6" w:rsidRPr="001A2552" w:rsidTr="00363D29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4849C6" w:rsidRPr="004849C6" w:rsidRDefault="004849C6" w:rsidP="009D3828">
            <w:pPr>
              <w:tabs>
                <w:tab w:val="left" w:pos="2770"/>
              </w:tabs>
              <w:spacing w:before="60" w:after="60"/>
              <w:jc w:val="center"/>
              <w:rPr>
                <w:sz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2E795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7EAEDB6"/>
    <w:lvl w:ilvl="0" w:tplc="F56E1A96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1F17"/>
    <w:rsid w:val="00072A61"/>
    <w:rsid w:val="000A48ED"/>
    <w:rsid w:val="000A6377"/>
    <w:rsid w:val="000E1A24"/>
    <w:rsid w:val="001822A7"/>
    <w:rsid w:val="001B1FF6"/>
    <w:rsid w:val="001C511E"/>
    <w:rsid w:val="00254461"/>
    <w:rsid w:val="002C73C2"/>
    <w:rsid w:val="002E7959"/>
    <w:rsid w:val="00306A1B"/>
    <w:rsid w:val="00324BBC"/>
    <w:rsid w:val="003836C2"/>
    <w:rsid w:val="003E33CA"/>
    <w:rsid w:val="004849C6"/>
    <w:rsid w:val="004D3876"/>
    <w:rsid w:val="004E4A48"/>
    <w:rsid w:val="005D7285"/>
    <w:rsid w:val="005F3001"/>
    <w:rsid w:val="00655AD1"/>
    <w:rsid w:val="00664BCE"/>
    <w:rsid w:val="00684CCF"/>
    <w:rsid w:val="006C3471"/>
    <w:rsid w:val="006E7CAD"/>
    <w:rsid w:val="007531CE"/>
    <w:rsid w:val="00832BE3"/>
    <w:rsid w:val="008864DC"/>
    <w:rsid w:val="008A0EE3"/>
    <w:rsid w:val="008C1D64"/>
    <w:rsid w:val="008F4203"/>
    <w:rsid w:val="009064FB"/>
    <w:rsid w:val="009376CB"/>
    <w:rsid w:val="0096103F"/>
    <w:rsid w:val="009777B1"/>
    <w:rsid w:val="009D3F96"/>
    <w:rsid w:val="00A13CA8"/>
    <w:rsid w:val="00A45856"/>
    <w:rsid w:val="00A716EC"/>
    <w:rsid w:val="00B25B0F"/>
    <w:rsid w:val="00B6407F"/>
    <w:rsid w:val="00B7131B"/>
    <w:rsid w:val="00B954F8"/>
    <w:rsid w:val="00BC32DD"/>
    <w:rsid w:val="00C22515"/>
    <w:rsid w:val="00C750E7"/>
    <w:rsid w:val="00CA5369"/>
    <w:rsid w:val="00CD1DE2"/>
    <w:rsid w:val="00DA7504"/>
    <w:rsid w:val="00DB3C84"/>
    <w:rsid w:val="00DC075D"/>
    <w:rsid w:val="00DF2636"/>
    <w:rsid w:val="00E858BF"/>
    <w:rsid w:val="00F02A84"/>
    <w:rsid w:val="00F65478"/>
    <w:rsid w:val="00F95395"/>
    <w:rsid w:val="00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8D08"/>
  <w15:docId w15:val="{82FDB3C3-EEC6-4EB5-B05F-926318A3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750E7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C750E7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1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750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50E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C750E7"/>
  </w:style>
  <w:style w:type="character" w:styleId="Kpr">
    <w:name w:val="Hyperlink"/>
    <w:basedOn w:val="VarsaylanParagrafYazTipi"/>
    <w:uiPriority w:val="99"/>
    <w:semiHidden/>
    <w:unhideWhenUsed/>
    <w:rsid w:val="00C750E7"/>
    <w:rPr>
      <w:color w:val="0000FF"/>
      <w:u w:val="single"/>
    </w:rPr>
  </w:style>
  <w:style w:type="character" w:customStyle="1" w:styleId="a-size-large">
    <w:name w:val="a-size-large"/>
    <w:basedOn w:val="VarsaylanParagrafYazTipi"/>
    <w:rsid w:val="008F4203"/>
  </w:style>
  <w:style w:type="character" w:customStyle="1" w:styleId="a-size-medium">
    <w:name w:val="a-size-medium"/>
    <w:basedOn w:val="VarsaylanParagrafYazTipi"/>
    <w:rsid w:val="008F4203"/>
  </w:style>
  <w:style w:type="character" w:customStyle="1" w:styleId="a-declarative">
    <w:name w:val="a-declarative"/>
    <w:basedOn w:val="VarsaylanParagrafYazTipi"/>
    <w:rsid w:val="008F4203"/>
  </w:style>
  <w:style w:type="character" w:customStyle="1" w:styleId="a-color-secondary">
    <w:name w:val="a-color-secondary"/>
    <w:basedOn w:val="VarsaylanParagrafYazTipi"/>
    <w:rsid w:val="008F4203"/>
  </w:style>
  <w:style w:type="character" w:customStyle="1" w:styleId="a-size-small">
    <w:name w:val="a-size-small"/>
    <w:basedOn w:val="VarsaylanParagrafYazTipi"/>
    <w:rsid w:val="00CD1DE2"/>
  </w:style>
  <w:style w:type="paragraph" w:styleId="AltBilgi">
    <w:name w:val="footer"/>
    <w:basedOn w:val="Normal"/>
    <w:link w:val="AltBilgiChar"/>
    <w:rsid w:val="008864DC"/>
    <w:pPr>
      <w:tabs>
        <w:tab w:val="center" w:pos="4703"/>
        <w:tab w:val="right" w:pos="9406"/>
      </w:tabs>
      <w:jc w:val="left"/>
    </w:pPr>
    <w:rPr>
      <w:rFonts w:ascii="Times New Roman" w:hAnsi="Times New Roman"/>
      <w:sz w:val="24"/>
    </w:rPr>
  </w:style>
  <w:style w:type="character" w:customStyle="1" w:styleId="AltBilgiChar">
    <w:name w:val="Alt Bilgi Char"/>
    <w:basedOn w:val="VarsaylanParagrafYazTipi"/>
    <w:link w:val="AltBilgi"/>
    <w:rsid w:val="008864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0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BKEV</dc:creator>
  <cp:lastModifiedBy>Kamran Polat</cp:lastModifiedBy>
  <cp:revision>2</cp:revision>
  <dcterms:created xsi:type="dcterms:W3CDTF">2018-09-25T12:32:00Z</dcterms:created>
  <dcterms:modified xsi:type="dcterms:W3CDTF">2018-09-25T12:32:00Z</dcterms:modified>
</cp:coreProperties>
</file>