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Mürcie’nin Görüşleri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Mürcie, siyasî ve itikadî, fıkhî ve tasavvufî meselelerin çözümü konusunda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pek çok görüş ileri sürmüştür. Ancak onlar, daha çok iman nazariyeleri ile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dikkat çekmişlerdir. Haricilerin iman ve küfürle ilgili görüşlerini reddederek </w:t>
      </w:r>
    </w:p>
    <w:p w:rsidR="00582A0A" w:rsidRP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kendilerine özgü görüşler ortaya atan Mürcie, bu konuda onlara muhalefet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eden ilk fırkadır. Mutezile’nin ortaya çıkmasıyla, bu mesele onlarla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Mürcie arasında tartışılmaya devam etmiştir.</w:t>
      </w:r>
      <w:r>
        <w:rPr>
          <w:rStyle w:val="FootnoteReference"/>
          <w:rFonts w:ascii="TimesNewRomanPSMT" w:hAnsi="TimesNewRomanPSMT" w:cs="TimesNewRomanPSMT"/>
          <w:color w:val="000000"/>
          <w:sz w:val="21"/>
          <w:szCs w:val="21"/>
        </w:rPr>
        <w:footnoteReference w:id="1"/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1. Mürcie’nin İtikadî Görüşleri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1.1. İmanın Tanımı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Mürcie’nin imanın tanımı ile ilgili görüşlerini üç grup halinde ele almak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mümkündür.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Birinci görüşe göre iman, kalple gerçekleşen marifettir veya tasdiktir. Bu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görüşü Cehm’e ve taraftarları savunmuştur. Onlara göre; İman, yalnızca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Allah’ı, resullerini ve O’ndan gelen herşeyi bilmektir. Marifetin dışındaki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dil ile ikrar, kalb ile kabullenme, Allah’ı ve resulünü sevme, onlara saygı,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onlardan korkma ve azalarla amel iman değildir. Küfür ise, Allah’ı bilmemek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olup, İman ve küfrün her ikisi de, sadece kalpte bulunur.( el-Eşa’rî,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1980: 132; el-Malatî, 1991: 149.)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Bazı Mürciiler, İmanı sırf marifet olarak tanımlama yerine, lügatteki anlamını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esas alarak, sırf tasdik şeklinde tanımlamayı tercih ettiler. Kalp ve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dil ile gerçekleşen bu tasdik yoksa, iman da yoktur diyerek dilin ikrarı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ikrârün bi’l-lisân</w:t>
      </w:r>
      <w:r>
        <w:rPr>
          <w:rFonts w:ascii="TimesNewRomanPSMT" w:hAnsi="TimesNewRomanPSMT" w:cs="TimesNewRomanPSMT"/>
          <w:color w:val="000000"/>
          <w:sz w:val="21"/>
          <w:szCs w:val="21"/>
        </w:rPr>
        <w:t>) yerine dilin tasdiki 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tasdîkun bi’l-lisân</w:t>
      </w:r>
      <w:r>
        <w:rPr>
          <w:rFonts w:ascii="TimesNewRomanPSMT" w:hAnsi="TimesNewRomanPSMT" w:cs="TimesNewRomanPSMT"/>
          <w:color w:val="000000"/>
          <w:sz w:val="21"/>
          <w:szCs w:val="21"/>
        </w:rPr>
        <w:t>) kavramını kullanan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grubun mensuplarının, Bişr el-Merisî ve taraftarlarının olduğu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kaydedilmektedir.( el-Eşa’rî, 1980: 140) İmanın sırf tasdik olduğu fikrinde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olanlar, bu görüşlerini temellendirmek için, söz bulunduğu halde imanın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kabul edilmediğinden bahseden bazı ayetleri delil getirmektedirler.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İkinci görüşe göre, iman, dil ile ikrar kalp ile tasdiktir. Yani iman, Allah’ı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ondan gelen şeyleri toptan kalp ile tasdik, dil ile ikrar etmektir. (Ebû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Hanîfe, 1992: 52 ve 119;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Krş. </w:t>
      </w:r>
      <w:r>
        <w:rPr>
          <w:rFonts w:ascii="TimesNewRomanPSMT" w:hAnsi="TimesNewRomanPSMT" w:cs="TimesNewRomanPSMT"/>
          <w:color w:val="000000"/>
          <w:sz w:val="21"/>
          <w:szCs w:val="21"/>
        </w:rPr>
        <w:t>62.) Bu, genel olarak Ebû Hanîfe ve ashabının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oluşturduğu Kufeli Mürciî fakih ve zahidlere ait olup, Mürcie’nin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çoğunluğunun görüşüdür. (İbn Teymiyye, Trz.: 141)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Üçüncü görüşe göre, İman sadece dille ikrardır. Muhammed b. Kerram ve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taraftarlarınca benimsenen bu görüşe göre, iman, kalbin değil dilin ikrarı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tasdikidir. Kalb ile bilmek iman olmadığı gibi, dil ile ikrarın dışında hiç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şey de iman değildir. Bu sebeple, Resulullah döneminde münafıklar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gerçek mümindiler. Küfür ise, Allah’ı dil ile tanımama ve inkardır. (el-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Eşa’rî, 1980: 141; el-Malatî, 1991: 151.) Mürcie, imana üç farklı tanım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getirdiyse de, bu tanımların hiç birisinde, amelleri İmana dahil etmediler.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4.1.2. Büyük Günah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Mürcie, büyük günah işleyenin dünyadaki durumu ile Ahiret’teki durumunu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birbirinden ayrı ele alır. Şöyle ki Kıble Ehli’nden büyük günah işle</w:t>
      </w:r>
      <w:r>
        <w:rPr>
          <w:rFonts w:ascii="TimesNewRomanPSMT" w:hAnsi="TimesNewRomanPSMT" w:cs="TimesNewRomanPSMT"/>
          <w:color w:val="000000"/>
          <w:sz w:val="12"/>
          <w:szCs w:val="12"/>
        </w:rPr>
        <w:t>M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yenler 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Fâsıklar</w:t>
      </w:r>
      <w:r>
        <w:rPr>
          <w:rFonts w:ascii="TimesNewRomanPSMT" w:hAnsi="TimesNewRomanPSMT" w:cs="TimesNewRomanPSMT"/>
          <w:color w:val="000000"/>
          <w:sz w:val="21"/>
          <w:szCs w:val="21"/>
        </w:rPr>
        <w:t>), imanlı olmaları dolayısıyla mümindirler, ancak büyük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günah işledikleri için aynı zamanda fasıktırlar. Onların durumları Alah’a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kalmıştır, dilerse affeder, dilerse cezalandırır. (el-Eşa’rî, 1980: 229)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Mürcie, fıskı imanın zıddı kabul etmediklerinden ve amelleri imanın bir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parçası olarak görmediklerinden, büyük günah işleyeni fıskı ve fücuru ile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birlikte kamil bir mümin saymaktadırlar. Günah işleyen ister teville, ister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tevilsiz işlesin, yani her hangi bir yorum sonucu işlesin durum aynıdır.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Çünkü bütün günahlar fısktır. Bu yüzden onlar, teville kan dökmeleri, kadınları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esir almaları ve malları yağmalamalarından dolayı Haricileri fasık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olarak görmüşlerdir. (el-Eşa’rî, 1980: 476-477)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Mürcie, büyük günah işleyenin, günahı dolayısıyla fasık olmakla beraber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gerçek mümin olmaya devam ettiği fikrini “Küfürle birlikte iyi ameller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ta’at</w:t>
      </w:r>
      <w:r>
        <w:rPr>
          <w:rFonts w:ascii="TimesNewRomanPSMT" w:hAnsi="TimesNewRomanPSMT" w:cs="TimesNewRomanPSMT"/>
          <w:color w:val="000000"/>
          <w:sz w:val="21"/>
          <w:szCs w:val="21"/>
        </w:rPr>
        <w:t>) fayda vermediği gibi, imanla beraber de kötü ameller 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seyyie/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lastRenderedPageBreak/>
        <w:t>ma’siyet</w:t>
      </w:r>
      <w:r>
        <w:rPr>
          <w:rFonts w:ascii="TimesNewRomanPSMT" w:hAnsi="TimesNewRomanPSMT" w:cs="TimesNewRomanPSMT"/>
          <w:color w:val="000000"/>
          <w:sz w:val="21"/>
          <w:szCs w:val="21"/>
        </w:rPr>
        <w:t>) zarar vermez” (eş-Şehristânî, 1990: I/162; İbn Hazm, 1986: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IV/205; İbnü’l-Cevzî, 1989: 87) şeklinde formüle ettiler. Bunun için, bu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ifade ilk Mürcie’nin tanımı olarak kabul edildi. Onlar böyle bir ifadeyle,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büyük günah işleyenin ne bu dünyada, ne ahirette hiç bir ceza görmeyeceğini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kasdetmişlerdir. Çünkü burada anlatılmak istenen, büyük günahın kişinin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imanına zarar vermemesi ve küfre girmemesi hususudur. Yani, onlar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iyiliklerin daha ağır bastığını, bu sebeple tek bir iyiliğin bile şirk ve küfrün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dışındaki diğer günahları ortadan kaldırabileceğini ileri sürerler.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İrcâ fikri, büyük günah işleyen herkesi İmandan, İslâmdan ve İslâm toplumunun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üyesi olmaktan çıkmış kabul eden Haricilerin, onlara kafir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muamelesi yapmalarına engel olmak ve Allah’a inandığını açıkca söyleyen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kimseye büyük günah işlemiş bile olsa İslâm’da bir yer bulabilmek için ileri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sürdüler. Ahiret’teki durumunu ise, Allah’ın dilemesine bıraktıkları için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onun ceza görmeyeceğini iddia etmediler.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Mürcie’nin dünyevî cezaları yürürlükten kaldırdıklarını söyleyebilmek de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oldukça zordur. Asıl amaçları, büyük günah işleyenin bu dünyada mümin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müslüman olduğunu ortaya koymaktı. Bu iddialarını doğrulamak için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Kur’ân’dan pek çok ayeti delil olarak kullanmaktadırlar. (Kutlu, 2000: 106-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107) Aksine onların, günahkar müminle ilgili şu noktada birleştiklerini görmekteyiz: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“Ehl-i Salat’tan (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Ehl-i Kıble </w:t>
      </w:r>
      <w:r>
        <w:rPr>
          <w:rFonts w:ascii="TimesNewRomanPSMT" w:hAnsi="TimesNewRomanPSMT" w:cs="TimesNewRomanPSMT"/>
          <w:color w:val="000000"/>
          <w:sz w:val="21"/>
          <w:szCs w:val="21"/>
        </w:rPr>
        <w:t>) Allah’ı ve resullerini bilip onu ikrar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eden ve bundan sonra büyük günah işleyen biri, sahip olduğu bu imanı dolayısıyla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mümindir ve İmanını kaybetmemiştir. Bununla beraber, kendilerinde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bulunan fısk sebebiyle aynı zamanda fasıktırlar.” (el-Eşa’rî, 1980: 138)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Amelleri İmana dahil etmeyen Mürcie, terkini helal görmedikçe, daha sonra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kaza etmek suretiyle bir kimsenin namaz ve orucunu terketmekle kafir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olmadığı fikrini benimsemiştir. Hatta bir Peygamber’i öldüren veya döven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birisi, bu fiili dolayısıyla değil onu hafife alması, ona düşmanlığı ve kini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dolayısıyla (Peygamber’i, Peygamber olduğu için öldürmesi dolayısıyla)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kafirdir. (eş-Şehristânî, 1990: I/166-7)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Büyük günah işleyenin Ahiret’teki durumuna gelince, Allah bilir, dilerse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cezalandırır dilerse affeder.( Naşî el-Ekber, 1971: 19-20; Şehristânî, 1990: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I/161) Mürcie’ye göre, hükmün Allah’a ertelenmesi, sadece büyük günah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işleyenlerin durumuyla ilgilidir. Çünkü günah işlememiş ve günahından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tevbe ederek ölmüş olan cennetliktir. Kafir olarak ölmüş ise, cehennemliktir.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yüzden onlara göre, başta Hz. Osman, Ali ve taraftarları olmak üzere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büyük günah işleyen hiç kimsenin cennetlik veya cehennemlik olduğuna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bu dünyada şahitlik edilemez. (Hasan b. Muhammed,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Kitâbü’l-İrcâ</w:t>
      </w:r>
      <w:r>
        <w:rPr>
          <w:rFonts w:ascii="TimesNewRomanPSMT" w:hAnsi="TimesNewRomanPSMT" w:cs="TimesNewRomanPSMT"/>
          <w:color w:val="000000"/>
          <w:sz w:val="21"/>
          <w:szCs w:val="21"/>
        </w:rPr>
        <w:t>, Arabica,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XXI (1974), 23)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Hz.Osman ve Ali için böyle bir İrcâ’yı, ilk uygulayan Mürcie, daha sonra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bunu bütün günah işleyenler için yürürlüğe koydu. Mürcie’ye göre, günah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işlememiş veya ölmeden önce tevbe etmesi sonucu günahları affedilmiş bir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mümin için cennetlik, küfür üzere ölen birisi için cehennemlik olduğuna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şahitlik edilebilir. Ama büyük günah işleyen bir mümine gelince cezalandırılması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veya mükafatlandırılması ile ilgili verilecek karar Allah’a bırakılır.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 dilerse affeder dilerse azab eder. Bu görüş, daha sonraları Ehl-i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Sünnet’in bütün çevrelerince temel bir esas olarak benimsenmiştir.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Mürcie, genelde, Kur’an’daki her hangi bir ayete dayanarak bir görüş ileri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süren kimsenin asla tekfir edilemeyeceğini savunur. Bir insanın yorumuyla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veya işlediği günah dolayısıyla tekfir edilebilmesi için bütün müslümanların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aynı fikirde birleşmelerini şart koşar. Eğer ayetin delaleti açık ve seçikse,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herkes aynı anlamı anlıyorsa tenziliyle aynı olan bir ayeti inkar küfre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götürebilir. Ancak ayetin yorumu tek değilse ve tenzilinden farklı yorumlara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müsaitse, bu durumda farklı yorum yaptığı için ya da bir başkasının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yorumunu inkar ettiği için ayeti inkar etmiş olmaz ve tekfir edilemez.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4.1.3. İman-Amel İlişkisi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Amellerin iman olmadığı ve onun özüne dahil edilemiyeceği konusunda bütün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Mürciiler hem fikirdir. Ameller imanın neticesi olduğu için onların iman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olarak isimlendirilmesi sadece mecazen mümkündür. (Kâzî Ebû Ya’la, 1410: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164, 176) Bu yüzden Mürcie amellere inanmayı ayrı şey, farz olduğunu bildiği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halde yerine getirmemeği ayrı şey kabul ederler. Farz olduğuna inanmayan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kafir, farz olduğuna inandığı halde kılmazsa günahkar mümin olur.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Mürcie’ye göre namaz, oruç, zekat, hac iman değil imanın dışında birer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farzlar veya iman ve İslâm’ın ilkeleridir (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Şerâi</w:t>
      </w:r>
      <w:r>
        <w:rPr>
          <w:rFonts w:ascii="TimesNewRomanPSMT" w:hAnsi="TimesNewRomanPSMT" w:cs="TimesNewRomanPSMT"/>
          <w:color w:val="000000"/>
          <w:sz w:val="21"/>
          <w:szCs w:val="21"/>
        </w:rPr>
        <w:t>). (İbn Hazm, 1986: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III/221) Kur’ân’da pek çok yerde iman edenlerin ve salih amel işleyenlerin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Arapça’da atıf harfi olan “vav”la birbirinden ayrılması, aynı isim altında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birleştirilmemesi amellerin imandan olmadığının delilidir. Eğer, taatler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İmandan olsaydı, Allah amel ve imanı ayırmazdı. Aynı şekilde, bu ayetlerde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geçen lafızlar aynı anlama gelseydi, onların tekrarı anlamsız olurdu. Bu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da gösteriyor ki amel ve iman ayrı ayrı şeylerdir.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Mürciilerin amellerin imandan sayılmasıyla doğacak bazı tehlikelerden endişe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etmeleri de, amelleri imanın dışında başka farzlar olarak kabul etmeye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sevketmiştir. Eğer namaz, iman olursa bir defa bile terk edenin, imanını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terketmiş sayılması gerekecektir. Ameller imandan olsaydı, Nebîler bile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bütün iyilikleri 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ta’atları</w:t>
      </w:r>
      <w:r>
        <w:rPr>
          <w:rFonts w:ascii="TimesNewRomanPSMT" w:hAnsi="TimesNewRomanPSMT" w:cs="TimesNewRomanPSMT"/>
          <w:color w:val="000000"/>
          <w:sz w:val="21"/>
          <w:szCs w:val="21"/>
        </w:rPr>
        <w:t>) tamamlayamadığından hiç kimsenin imanı mükemmel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olmazdı. Aynı şekilde tek bir günah işleyenin imanı da tam olmazdı.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İman vacipleri yerine getirmek, haramları terketmek olursa hiç kimse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gerçek mümin olduğunu söyleyemeyecektir.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Mürcie’ye göre, İslâm’a girmenin şartı ameller değil Allah’ı ikrar ve tasdiktir.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İnsanlar, amelleri terketmekle mümin ismini kaybetmez, ama tasdiki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kaybetmekle iman ismini kaybeder. Müminlerin iman ismi amellerden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önce olması amel ve imanın ayrı olduğunu gösterir. İnsanların farzları işlemeleri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iman etmiş olmalarından dolayıdır. Yoksa imanları farz olan şeyleri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işlemiş olmalarından doğmuş değildir. İnsanlar tasdikte birbirine eşit, fakat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amellerde birbirinden farklıdır. Ayrıca fakirin zekatı vermesi gerekmez,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ama zekatın farziyetine inanması gerekir. Mürcie bu yüzden amelleri hafife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almakla suçlanmıştır.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4.1.4. İmanda İstisna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temel esasla, bir kimsenin, “İnşallah, müminim” veya “Ümit ederim,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müminim” yerine, “Ben gerçekten müminim” diyerek İmanına şek ve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şüphe katmaması gerektiği kasdedilmektedir. Mürcie, şartlı imanı yasaklayarak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şartlı mümin olduklarını söyleyenleri , “İmanından şüphe edenler”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Şakkûn</w:t>
      </w:r>
      <w:r>
        <w:rPr>
          <w:rFonts w:ascii="TimesNewRomanPSMT" w:hAnsi="TimesNewRomanPSMT" w:cs="TimesNewRomanPSMT"/>
          <w:color w:val="000000"/>
          <w:sz w:val="21"/>
          <w:szCs w:val="21"/>
        </w:rPr>
        <w:t>) olarak tanımlamışlardır. (Ebû Hanîfe, 1992: 41; İbn Teymiyye,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Trz.: 101, 230, 299) Çünkü Hz. Peygamber’in tebliğinden sonra, insanlar,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 mümin, ya kafir, ya da münafıktır. Bu üç grubun dışında bir grup olmadığına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göre, mümin olan birinin gerçekten müminim demesi gerekiyordu.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Ebû Hanîfe’ye göre, bir kimseye sen mümin misin? diye sorulduğunda,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 bilir şeklinde cevap verirse, o kimsenin imanında şüphe ettiği anlamı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çıkar. İmanından şüphe eden kimse, münafık da değildir. Bu yüzden ben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gerçekten müminim demesi gerekir, çünkü gerçek bir mümin, imanından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şüphe etmez. Her ne kadar amellerinde kusur etse de, yine gerçek mümin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olup, imanı meleklerin İmanı gibidir. Ancak, kim, cennetliğim veya cehennemliğim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derse, yalan söylemiştir. (Ebû Hanîfe, 1992: 41-42)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4.1.5. İmanda Artma ve Eksilme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Mürcie, imanın amellerle artmayacağı, amelleri terketmekle veya günah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işlemekle de azalmayacağı fikrini ısrarla savunmaktadır. Mürcie arasında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sadece, Hüseyin b. Muhammed b. en-Neccar (el-Eşa’rî, 1980: 136) İmanın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artacağı, ama eksilmeyeceği görüşünü benimsemiş ise de, bununla, amellerle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İmanın artması ve amellerin terkiyle azalmasını kasdetmemektedir.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Hüseyin en-Neccar’a göre, ikrar yoksa, tek başına marifet taat değildir.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 tek emirle, inanılması gerekenlerin hepsine inanmamızı emretmiştir.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Bunları yapmayan O’na itaat etmiş olamaz. Bir kimse, bu hasletlerden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birisini terketmekle kafir olmadığı için, insanlar imanlarında birbirinden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farklıdırlar. Bazısı Allah’ı daha çok bilebilir veya tasdiki daha güçlü olabilir.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bakımdan iman artar ama eksilmez. Mümin olandan İman ismi,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yalnızca küfürle kalkar.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Ebû Hanîfe’ye göre, imanın eksilmesi, küfrün artması, küfrün artması ise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imanın eksilmesi halinde mümkün olabilir. Bir şahsın aynı anda hem mümin,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hem kafir olması mümkün değildir. Halbuki mümin gerçek mümin,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kafir de gerçekten kafirdir. (Ebû Hanîfe, 1992: 72)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4.1.6. İmanda Eşitlik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Mürcie’ye göre, bütün müminler, iman konusunda, birbiriyle aynı olup,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birinin diğerine üstünlüğü yoktur. (Ebû Hanîfe, 1992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: 67; </w:t>
      </w:r>
      <w:r>
        <w:rPr>
          <w:rFonts w:ascii="TimesNewRomanPSMT" w:hAnsi="TimesNewRomanPSMT" w:cs="TimesNewRomanPSMT"/>
          <w:color w:val="000000"/>
          <w:sz w:val="21"/>
          <w:szCs w:val="21"/>
        </w:rPr>
        <w:t>el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-</w:t>
      </w:r>
      <w:r>
        <w:rPr>
          <w:rFonts w:ascii="TimesNewRomanPSMT" w:hAnsi="TimesNewRomanPSMT" w:cs="TimesNewRomanPSMT"/>
          <w:color w:val="000000"/>
          <w:sz w:val="21"/>
          <w:szCs w:val="21"/>
        </w:rPr>
        <w:t>Eşa’rî, 1980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: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139)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Onların bu görüşü,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Kitâbü’l-Îmân</w:t>
      </w:r>
      <w:r>
        <w:rPr>
          <w:rFonts w:ascii="TimesNewRomanPSMT" w:hAnsi="TimesNewRomanPSMT" w:cs="TimesNewRomanPSMT"/>
          <w:color w:val="000000"/>
          <w:sz w:val="21"/>
          <w:szCs w:val="21"/>
        </w:rPr>
        <w:t>’larda şu şekilde ifade edilmiştir: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“İnsanlar, imanlarında birbirlerinden üstün değildirler, bu sebeple, onların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günahkarları da, salih amel işleyenleri de, iman konusunda eşittirler.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(el-Halimî, 1979: I/80) Dolayısıyla müminlerin imanları meleklerin imanı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gibidir. (Ebû Ubeyd, Trz.: 70)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Mürcie’ye göre, imanın ikrar, marifet ve Allah’a boyun eğme gibi bir takım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hasletleri vardır. Bunlardan herbirisi taat veya imanın bir kısmını oluşturur.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imanın bir kısmını yerine getirirse kafir, hepsini yerine getirirse, mümin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olur. Bu bakımdan, imanı oluşturan hasletlerde, bu hasletlerin sahipleri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birbirinden üstün olabilirler. (el-Eşa’rî, 1980: 137-138) Allah’ın vahyi tamamlandıktan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sonra, insanların iman konusunda birbirinden üstün olacak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yanı kalmadı. Bu yüzden, bütün insanların 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müminlerin</w:t>
      </w:r>
      <w:r>
        <w:rPr>
          <w:rFonts w:ascii="TimesNewRomanPSMT" w:hAnsi="TimesNewRomanPSMT" w:cs="TimesNewRomanPSMT"/>
          <w:color w:val="000000"/>
          <w:sz w:val="21"/>
          <w:szCs w:val="21"/>
        </w:rPr>
        <w:t>), Hz. Ebû Bekir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Hz. Ömer gibi ilk müslümanların imanı ile Haccac, Ebû Müslim el-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Horasanî ve diğerlerinin imanı aynıdır. Diğer yandan, Allah’ın kullarına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farz kıldığı iman, bütün kulları için farz kılınmış olan aynı imandır. Yani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şahıs için vacip olan imanın aynısı bütün şahıslar için de vaciptir.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Ebû Hanîfe, imanda eşitlik fikrini,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Kitâbü’l-Âlim ve’l-Müteallim</w:t>
      </w:r>
      <w:r>
        <w:rPr>
          <w:rFonts w:ascii="TimesNewRomanPSMT" w:hAnsi="TimesNewRomanPSMT" w:cs="TimesNewRomanPSMT"/>
          <w:color w:val="000000"/>
          <w:sz w:val="21"/>
          <w:szCs w:val="21"/>
        </w:rPr>
        <w:t>’de, şöyle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formülleştirmiştir: “Bütün müminler, marifet, yakîn, tevekkül, Allah sev</w:t>
      </w:r>
      <w:r>
        <w:rPr>
          <w:rFonts w:ascii="TimesNewRomanPSMT" w:hAnsi="TimesNewRomanPSMT" w:cs="TimesNewRomanPSMT"/>
          <w:color w:val="000000"/>
          <w:sz w:val="12"/>
          <w:szCs w:val="12"/>
        </w:rPr>
        <w:t>M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gisi, Allah korkusu ve iman konusunda eşittirler. Bunların dışında imanı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ilgilendiren konularda, birbirinden farklıdırlar. Aynı şekilde küfürde de kafirler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eşittirler” (Bkz., 1992: 123; 1992: 62) O’na göre, Sema ehlinin ve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Resullerin dini aynıdır. Farklı olan sadece, farzlardır. (Ebû Hanîfe, 1992: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67) İman ve tevhitte inananların eşit olması demek, insanların ve Meleklerin,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iman konusunda eşit olması demektir. Bir insan, amellerinde kusur etse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bile, imanı bakımından gerçek mümindir ve onun imanı Meleklerin imanı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gibidir. (Ebû Hanîfe, 1992: 42)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4.1.7. İman-İslâm İlişkisi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Mürcie, iman ve İslâm’ın aynı manaya geldiği ve her müslüman için mümin,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her mümin için de müslüman tabirinin kullanılabileceğini ileri sürmektedir.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Ebû Hanîfe’ye göre, iman, tasdik, marifet, yakîn, ikrar ve islâm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demektir. Aslında bu kelimeler birbirinden farklı, fakat aynı manaya, yani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iman manasına, gelen kelimelerdir. İmanın tarifinde bu anlamlar bizzat ifade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edilmiştir. Şöyleki, iman; Allah’ın Rab olduğunu, hem ikrar ve tasdik etmek,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hem de şüphesiz kesin bir bilgiyle bilmek, tanımak ve aynı zamanda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O’nun Rab oluşunu kalbi ve diliyle kabullenmektir 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istislâm</w:t>
      </w:r>
      <w:r>
        <w:rPr>
          <w:rFonts w:ascii="TimesNewRomanPSMT" w:hAnsi="TimesNewRomanPSMT" w:cs="TimesNewRomanPSMT"/>
          <w:color w:val="000000"/>
          <w:sz w:val="21"/>
          <w:szCs w:val="21"/>
        </w:rPr>
        <w:t>). Bütün bunlar,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farklı isimler olsa da, manaları aynıdır. Mesela; bir kişi için Ey İnsan!,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Ey Adem! veya Ey Filan! denmesi gibi. Bu kelimeleri söyleyen kimse,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onlarla aynı manayı kastettiği halde, onu muhtelif isimlerle çağırmaktadır.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(1992: 52, 56) Yani iman, ikrar ve tasdik iken, İslâm; Allah’ın emirlerini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kabullenmek ve O’na itaat etmektir. Bu iki kelime arasındaki fark, sadece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sözlük anlamı itibariyledir. Bu ikisi, bir şeyin içi ve dışı gibi olup, islâmsız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iman imansız islâm olamaz. Yalnız geniş anlamlı olan din kelimesidir. Bu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hem imana, hem islâma, hem de şeriatlerin bütününe verilen bir isimdir.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(1992: 62)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prensip, Mürcie tarafından, “İman ve İslâm tek bir isimdir. İmanın derece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itibariyle islâma bir üstünlüğü yoktur” (el-Malatî, 1991: 156) şeklinde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formülleştirilmiştir. Mürcie, bu fikri benimsemekle amelleri hem imanın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hem de islâmın dışında bırakmıştır.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4.1.8. Va’d ve Vaîd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Va’d; Allah’ın emir ve yasaklarına uyan kimseyi mükafatlandıracağına söz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vermesi, vaîd ise, emirlerine uymayan ve bazı günahları işleyenleri ebedî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ceza ile tehdit etmesidir.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Mürcie “Diğerlerinin durumu Allah’ın emrine kalmıştır; O dilerse onları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affeder, dilerse cezalandırır.” (9. Tevbe 106) ayetini esas alarak, Muhammed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ümmetinden büyük günah işleyenin durumunu Allah’a bırakarak, affedileceği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veya cezalandırılacağı konusunda kesin bir hüküm vermemiştir.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Mürcie, genelde, Allah’ın va’dinin değişmeyeceğini, ama vaîdinin değişebileceğini,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bazı kayıtlarla daraltılabileceğini veya va’dde istisnanın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olmadığını, sadece vaîdde gizli bir istisnanın olduğunu iddia etti. Çünkü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sevap ve mükafatlandırma, onlarca bir fazilet ve üstünlüktür. Allah, onu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ifa eder. Va’dden dönme, bir noksanlık ve yalan olacağından onu yerine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getirir. Cezalandırma ise adalettir. Allah’ın istediği şekilde tasarruf hakkı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vardır. Bu nedenle vaîdden dönmek, noksanlık sayılmaz, çünkü vaîdden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dönme fazilet sahibi ve bağışlayan birinin vasfıdır. (el-Eşa’rî, 1980: 144-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145; Neşvânü’l-Himyeri, Trz.: 203)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Mürciiler, aslında ayet ve hadislerde geçen tehdit ve uyarıların, müminleri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 muhatab aldığını kabul ederler. Bazı Mürciiler, Nisâ 11. ve 93. ayetiyle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Nûr 4. ayetteki ve benzeri ayetlerdeki tehditlerin ifade olarak umumîliğini,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mana itibariyle ise hususîliğini iddia ettiler.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Mürcie arasında bir grup da, vaîdin Kıble Ehli için değil sadece müşrikler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için olduğunu ileri sürmektedir. Mesela; Allah her hangi bir mümini kasden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öldüren veya diğer ayetlerdeki tehditler, bu şeyleri bizzat haram kabul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ederek yapanlar için değil, helal kabul ederek yapanlar içindir. Allah’ın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va’dine gelince, o, müminler için vaciptir, çünkü Allah va’dinden dönmez.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 için affetmek, şanına daha layıktır. (el-Eşa’rî, 1980: 147) Mürcie’ye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göre; büyük günah işleyen, ebedi Cehennem’de kalmayacaktır. Resulün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şefaati, Kıble Ehli’nden hem mümin hem de fasık içindir. (Kutlu, 2002:</w:t>
      </w:r>
    </w:p>
    <w:p w:rsidR="00582A0A" w:rsidRDefault="00582A0A" w:rsidP="00582A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144-145)</w:t>
      </w:r>
    </w:p>
    <w:p w:rsidR="00D54205" w:rsidRDefault="00D54205"/>
    <w:sectPr w:rsidR="00D54205" w:rsidSect="00AE5F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0A" w:rsidRDefault="00582A0A" w:rsidP="00582A0A">
      <w:r>
        <w:separator/>
      </w:r>
    </w:p>
  </w:endnote>
  <w:endnote w:type="continuationSeparator" w:id="0">
    <w:p w:rsidR="00582A0A" w:rsidRDefault="00582A0A" w:rsidP="0058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20000007" w:usb1="00000000" w:usb2="00000000" w:usb3="00000000" w:csb0="00000113" w:csb1="00000000"/>
  </w:font>
  <w:font w:name="TimesNewRomanPS-ItalicMT">
    <w:altName w:val="ＭＳ 明朝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0A" w:rsidRDefault="00582A0A" w:rsidP="00582A0A">
      <w:r>
        <w:separator/>
      </w:r>
    </w:p>
  </w:footnote>
  <w:footnote w:type="continuationSeparator" w:id="0">
    <w:p w:rsidR="00582A0A" w:rsidRDefault="00582A0A" w:rsidP="00582A0A">
      <w:r>
        <w:continuationSeparator/>
      </w:r>
    </w:p>
  </w:footnote>
  <w:footnote w:id="1">
    <w:p w:rsidR="00582A0A" w:rsidRDefault="00582A0A">
      <w:pPr>
        <w:pStyle w:val="FootnoteText"/>
      </w:pPr>
      <w:r>
        <w:rPr>
          <w:rStyle w:val="FootnoteReference"/>
        </w:rPr>
        <w:footnoteRef/>
      </w:r>
      <w:r>
        <w:t xml:space="preserve"> Sönmez Kutlu, “Mürcie”, İslam Mezhepleri Tarihi El Kitabı, Grafiker, Ankara 2017.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0A"/>
    <w:rsid w:val="0002202A"/>
    <w:rsid w:val="00582A0A"/>
    <w:rsid w:val="00AE5FBA"/>
    <w:rsid w:val="00B21315"/>
    <w:rsid w:val="00D5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722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0A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582A0A"/>
  </w:style>
  <w:style w:type="character" w:customStyle="1" w:styleId="FootnoteTextChar">
    <w:name w:val="Footnote Text Char"/>
    <w:basedOn w:val="DefaultParagraphFont"/>
    <w:link w:val="FootnoteText"/>
    <w:uiPriority w:val="99"/>
    <w:rsid w:val="00582A0A"/>
    <w:rPr>
      <w:rFonts w:ascii="Times New Roman" w:eastAsia="Times New Roman" w:hAnsi="Times New Roman" w:cs="Times New Roman"/>
      <w:lang w:eastAsia="tr-TR"/>
    </w:rPr>
  </w:style>
  <w:style w:type="character" w:styleId="FootnoteReference">
    <w:name w:val="footnote reference"/>
    <w:basedOn w:val="DefaultParagraphFont"/>
    <w:uiPriority w:val="99"/>
    <w:unhideWhenUsed/>
    <w:rsid w:val="00582A0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0A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582A0A"/>
  </w:style>
  <w:style w:type="character" w:customStyle="1" w:styleId="FootnoteTextChar">
    <w:name w:val="Footnote Text Char"/>
    <w:basedOn w:val="DefaultParagraphFont"/>
    <w:link w:val="FootnoteText"/>
    <w:uiPriority w:val="99"/>
    <w:rsid w:val="00582A0A"/>
    <w:rPr>
      <w:rFonts w:ascii="Times New Roman" w:eastAsia="Times New Roman" w:hAnsi="Times New Roman" w:cs="Times New Roman"/>
      <w:lang w:eastAsia="tr-TR"/>
    </w:rPr>
  </w:style>
  <w:style w:type="character" w:styleId="FootnoteReference">
    <w:name w:val="footnote reference"/>
    <w:basedOn w:val="DefaultParagraphFont"/>
    <w:uiPriority w:val="99"/>
    <w:unhideWhenUsed/>
    <w:rsid w:val="00582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7188D83D-7566-AC44-A14D-17054684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2570</Words>
  <Characters>14653</Characters>
  <Application>Microsoft Macintosh Word</Application>
  <DocSecurity>0</DocSecurity>
  <Lines>122</Lines>
  <Paragraphs>34</Paragraphs>
  <ScaleCrop>false</ScaleCrop>
  <Company/>
  <LinksUpToDate>false</LinksUpToDate>
  <CharactersWithSpaces>17189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Mine</cp:lastModifiedBy>
  <cp:revision>1</cp:revision>
  <dcterms:created xsi:type="dcterms:W3CDTF">2018-03-21T16:53:00Z</dcterms:created>
  <dcterms:modified xsi:type="dcterms:W3CDTF">2018-03-21T17:01:00Z</dcterms:modified>
</cp:coreProperties>
</file>