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1596B4C" w14:textId="77777777" w:rsidR="0026182D" w:rsidRPr="0026182D" w:rsidRDefault="0026182D" w:rsidP="000B3275">
      <w:pPr>
        <w:spacing w:before="100" w:beforeAutospacing="1" w:after="100" w:afterAutospacing="1" w:line="360" w:lineRule="auto"/>
        <w:jc w:val="both"/>
        <w:rPr>
          <w:rFonts w:ascii="Times New Roman" w:hAnsi="Times New Roman" w:cs="Times New Roman"/>
          <w:b/>
          <w:sz w:val="24"/>
          <w:szCs w:val="24"/>
        </w:rPr>
      </w:pPr>
      <w:r w:rsidRPr="0026182D">
        <w:rPr>
          <w:rFonts w:ascii="Times New Roman" w:hAnsi="Times New Roman" w:cs="Times New Roman"/>
          <w:b/>
          <w:sz w:val="24"/>
          <w:szCs w:val="24"/>
        </w:rPr>
        <w:t xml:space="preserve">ADİ KİRA SÖZLEŞMESİ </w:t>
      </w:r>
    </w:p>
    <w:p w14:paraId="3E762ECE" w14:textId="77777777" w:rsidR="000B3275" w:rsidRPr="000B3275" w:rsidRDefault="000B3275" w:rsidP="000B3275">
      <w:pPr>
        <w:spacing w:before="100" w:beforeAutospacing="1" w:after="100" w:afterAutospacing="1" w:line="360" w:lineRule="auto"/>
        <w:jc w:val="both"/>
        <w:rPr>
          <w:rFonts w:ascii="Times New Roman" w:hAnsi="Times New Roman" w:cs="Times New Roman"/>
          <w:sz w:val="24"/>
          <w:szCs w:val="24"/>
        </w:rPr>
      </w:pPr>
      <w:r w:rsidRPr="000B3275">
        <w:rPr>
          <w:rFonts w:ascii="Times New Roman" w:hAnsi="Times New Roman" w:cs="Times New Roman"/>
          <w:b/>
          <w:sz w:val="24"/>
          <w:szCs w:val="24"/>
        </w:rPr>
        <w:t>KİRALAYANIN BORÇLARI</w:t>
      </w:r>
    </w:p>
    <w:p w14:paraId="56EE79C3" w14:textId="77777777" w:rsidR="000B3275" w:rsidRPr="000B3275" w:rsidRDefault="000B3275" w:rsidP="000B3275">
      <w:pPr>
        <w:spacing w:before="100" w:beforeAutospacing="1" w:after="100" w:afterAutospacing="1" w:line="360" w:lineRule="auto"/>
        <w:jc w:val="both"/>
        <w:rPr>
          <w:rFonts w:ascii="Times New Roman" w:hAnsi="Times New Roman" w:cs="Times New Roman"/>
          <w:b/>
          <w:sz w:val="24"/>
          <w:szCs w:val="24"/>
        </w:rPr>
      </w:pPr>
      <w:r w:rsidRPr="000B3275">
        <w:rPr>
          <w:rFonts w:ascii="Times New Roman" w:hAnsi="Times New Roman" w:cs="Times New Roman"/>
          <w:b/>
          <w:sz w:val="24"/>
          <w:szCs w:val="24"/>
        </w:rPr>
        <w:t>I. Kiralananı sözleşmede öngörülen kullanma amacına elverişli şekilde teslim ve bu halde bulundurma borcu</w:t>
      </w:r>
    </w:p>
    <w:p w14:paraId="15C22162" w14:textId="77777777" w:rsidR="000B3275" w:rsidRPr="000B3275" w:rsidRDefault="000B3275" w:rsidP="000B3275">
      <w:pPr>
        <w:spacing w:before="100" w:beforeAutospacing="1" w:after="100" w:afterAutospacing="1" w:line="360" w:lineRule="auto"/>
        <w:jc w:val="both"/>
        <w:rPr>
          <w:rFonts w:ascii="Times New Roman" w:hAnsi="Times New Roman" w:cs="Times New Roman"/>
          <w:sz w:val="24"/>
          <w:szCs w:val="24"/>
        </w:rPr>
      </w:pPr>
      <w:r w:rsidRPr="000B3275">
        <w:rPr>
          <w:rFonts w:ascii="Times New Roman" w:hAnsi="Times New Roman" w:cs="Times New Roman"/>
          <w:sz w:val="24"/>
          <w:szCs w:val="24"/>
        </w:rPr>
        <w:t>TBK m. 305/c.1 gereğince, kiralayan kiralananı sözleşmede öngörülen kullanma amacına elverişli şekilde teslim etmek ve kira süre</w:t>
      </w:r>
      <w:r w:rsidRPr="000B3275">
        <w:rPr>
          <w:rFonts w:ascii="Times New Roman" w:hAnsi="Times New Roman" w:cs="Times New Roman"/>
          <w:sz w:val="24"/>
          <w:szCs w:val="24"/>
        </w:rPr>
        <w:softHyphen/>
        <w:t>since bu halde tutmakla yükümlüdür.</w:t>
      </w:r>
    </w:p>
    <w:p w14:paraId="53876386" w14:textId="77777777" w:rsidR="000B3275" w:rsidRPr="000B3275" w:rsidRDefault="000B3275" w:rsidP="000B3275">
      <w:pPr>
        <w:spacing w:before="100" w:beforeAutospacing="1" w:after="100" w:afterAutospacing="1" w:line="360" w:lineRule="auto"/>
        <w:jc w:val="both"/>
        <w:rPr>
          <w:rFonts w:ascii="Times New Roman" w:hAnsi="Times New Roman" w:cs="Times New Roman"/>
          <w:sz w:val="24"/>
          <w:szCs w:val="24"/>
        </w:rPr>
      </w:pPr>
      <w:r w:rsidRPr="000B3275">
        <w:rPr>
          <w:rFonts w:ascii="Times New Roman" w:hAnsi="Times New Roman" w:cs="Times New Roman"/>
          <w:sz w:val="24"/>
          <w:szCs w:val="24"/>
        </w:rPr>
        <w:t>Kiralananın sözleşmeyle öngörülen kullanmaya elverişli bir şekilde teslim edilmemesi ve bu halde bulundurulmaması halinde ayıba karşı tekeffülden doğan sorumluluk (TBK m. 304) söz konusu olur. Bunun için;</w:t>
      </w:r>
    </w:p>
    <w:p w14:paraId="0C01EAFE" w14:textId="77777777" w:rsidR="000B3275" w:rsidRPr="000B3275" w:rsidRDefault="000B3275" w:rsidP="000B3275">
      <w:pPr>
        <w:spacing w:before="100" w:beforeAutospacing="1" w:after="100" w:afterAutospacing="1" w:line="360" w:lineRule="auto"/>
        <w:jc w:val="both"/>
        <w:rPr>
          <w:rFonts w:ascii="Times New Roman" w:hAnsi="Times New Roman" w:cs="Times New Roman"/>
          <w:sz w:val="24"/>
          <w:szCs w:val="24"/>
        </w:rPr>
      </w:pPr>
      <w:r w:rsidRPr="000B3275">
        <w:rPr>
          <w:rFonts w:ascii="Times New Roman" w:hAnsi="Times New Roman" w:cs="Times New Roman"/>
          <w:sz w:val="24"/>
          <w:szCs w:val="24"/>
        </w:rPr>
        <w:t>-Kiralanan ayıplı olmalıdır,</w:t>
      </w:r>
    </w:p>
    <w:p w14:paraId="40A0C78C" w14:textId="77777777" w:rsidR="000B3275" w:rsidRPr="000B3275" w:rsidRDefault="000B3275" w:rsidP="000B3275">
      <w:pPr>
        <w:spacing w:before="100" w:beforeAutospacing="1" w:after="100" w:afterAutospacing="1" w:line="360" w:lineRule="auto"/>
        <w:jc w:val="both"/>
        <w:rPr>
          <w:rFonts w:ascii="Times New Roman" w:hAnsi="Times New Roman" w:cs="Times New Roman"/>
          <w:sz w:val="24"/>
          <w:szCs w:val="24"/>
        </w:rPr>
      </w:pPr>
      <w:r w:rsidRPr="000B3275">
        <w:rPr>
          <w:rFonts w:ascii="Times New Roman" w:hAnsi="Times New Roman" w:cs="Times New Roman"/>
          <w:sz w:val="24"/>
          <w:szCs w:val="24"/>
        </w:rPr>
        <w:t>-Kiracı ayıbı bilmemelidir,</w:t>
      </w:r>
    </w:p>
    <w:p w14:paraId="73142551" w14:textId="77777777" w:rsidR="000B3275" w:rsidRPr="000B3275" w:rsidRDefault="000B3275" w:rsidP="000B3275">
      <w:pPr>
        <w:spacing w:before="100" w:beforeAutospacing="1" w:after="100" w:afterAutospacing="1" w:line="360" w:lineRule="auto"/>
        <w:jc w:val="both"/>
        <w:rPr>
          <w:rFonts w:ascii="Times New Roman" w:hAnsi="Times New Roman" w:cs="Times New Roman"/>
          <w:sz w:val="24"/>
          <w:szCs w:val="24"/>
        </w:rPr>
      </w:pPr>
      <w:r w:rsidRPr="000B3275">
        <w:rPr>
          <w:rFonts w:ascii="Times New Roman" w:hAnsi="Times New Roman" w:cs="Times New Roman"/>
          <w:sz w:val="24"/>
          <w:szCs w:val="24"/>
        </w:rPr>
        <w:t>-Kiralayanın sorumluluğunu kaldıran veya sınırlayan bir sözleşme kaydı bulunmamalıdır,</w:t>
      </w:r>
    </w:p>
    <w:p w14:paraId="66E87DFF" w14:textId="77777777" w:rsidR="000B3275" w:rsidRPr="000B3275" w:rsidRDefault="000B3275" w:rsidP="000B3275">
      <w:pPr>
        <w:spacing w:before="100" w:beforeAutospacing="1" w:after="100" w:afterAutospacing="1" w:line="360" w:lineRule="auto"/>
        <w:jc w:val="both"/>
        <w:rPr>
          <w:rFonts w:ascii="Times New Roman" w:hAnsi="Times New Roman" w:cs="Times New Roman"/>
          <w:sz w:val="24"/>
          <w:szCs w:val="24"/>
        </w:rPr>
      </w:pPr>
      <w:r w:rsidRPr="000B3275">
        <w:rPr>
          <w:rFonts w:ascii="Times New Roman" w:hAnsi="Times New Roman" w:cs="Times New Roman"/>
          <w:sz w:val="24"/>
          <w:szCs w:val="24"/>
        </w:rPr>
        <w:t>-Kiracı ayıptan doğan haklarını kullanabilmesi için inceleme ve bildirme külfetini yerine getirmelidir.</w:t>
      </w:r>
    </w:p>
    <w:p w14:paraId="00369D4C" w14:textId="77777777" w:rsidR="000B3275" w:rsidRPr="000B3275" w:rsidRDefault="000B3275" w:rsidP="000B3275">
      <w:pPr>
        <w:spacing w:before="100" w:beforeAutospacing="1" w:after="100" w:afterAutospacing="1" w:line="360" w:lineRule="auto"/>
        <w:jc w:val="both"/>
        <w:rPr>
          <w:rFonts w:ascii="Times New Roman" w:hAnsi="Times New Roman" w:cs="Times New Roman"/>
          <w:sz w:val="24"/>
          <w:szCs w:val="24"/>
        </w:rPr>
      </w:pPr>
      <w:r w:rsidRPr="000B3275">
        <w:rPr>
          <w:rFonts w:ascii="Times New Roman" w:hAnsi="Times New Roman" w:cs="Times New Roman"/>
          <w:sz w:val="24"/>
          <w:szCs w:val="24"/>
        </w:rPr>
        <w:t xml:space="preserve">“Kiralananın önemli ayıplarla teslimi hâlinde kiracı, borçlunun temerrüdüne veya kiraya verenin kiralananın sonradan ayıplı duruma gelmesinden doğan sorumluluğuna ilişkin hükümlere başvurabilir (f.1). Kiralananın önemli olmayan ayıplarla tesliminde ise kiracı, kiralananda sonradan ortaya çıkan ayıplardan dolayı kiraya verenin sorumluluğuna ilişkin hükümlere başvurabilir (f2)”. </w:t>
      </w:r>
    </w:p>
    <w:p w14:paraId="4A3D112D" w14:textId="77777777" w:rsidR="000B3275" w:rsidRPr="000B3275" w:rsidRDefault="000B3275" w:rsidP="000B3275">
      <w:pPr>
        <w:spacing w:before="100" w:beforeAutospacing="1" w:after="100" w:afterAutospacing="1" w:line="360" w:lineRule="auto"/>
        <w:jc w:val="both"/>
        <w:rPr>
          <w:rFonts w:ascii="Times New Roman" w:hAnsi="Times New Roman" w:cs="Times New Roman"/>
          <w:sz w:val="24"/>
          <w:szCs w:val="24"/>
        </w:rPr>
      </w:pPr>
      <w:r w:rsidRPr="000B3275">
        <w:rPr>
          <w:rFonts w:ascii="Times New Roman" w:hAnsi="Times New Roman" w:cs="Times New Roman"/>
          <w:sz w:val="24"/>
          <w:szCs w:val="24"/>
        </w:rPr>
        <w:t>Kiraya veren kiralananı kararlaştırılan tarihte teslim etmişse, yani teslim borcunu (TBK m. 301) ifada temerrüde düşerse, kiracı TBK m. 123- 126’da öngörülen karşılıklı borç yükleyen sözleşmelerde borçlunun temerrüdüne ilişkin hükümlere başvurabilir.</w:t>
      </w:r>
    </w:p>
    <w:p w14:paraId="23C8B767" w14:textId="77777777" w:rsidR="000B3275" w:rsidRPr="000B3275" w:rsidRDefault="000B3275" w:rsidP="000B3275">
      <w:pPr>
        <w:spacing w:before="100" w:beforeAutospacing="1" w:after="100" w:afterAutospacing="1" w:line="360" w:lineRule="auto"/>
        <w:jc w:val="both"/>
        <w:rPr>
          <w:rFonts w:ascii="Times New Roman" w:hAnsi="Times New Roman" w:cs="Times New Roman"/>
          <w:sz w:val="24"/>
          <w:szCs w:val="24"/>
        </w:rPr>
      </w:pPr>
      <w:r w:rsidRPr="000B3275">
        <w:rPr>
          <w:rFonts w:ascii="Times New Roman" w:hAnsi="Times New Roman" w:cs="Times New Roman"/>
          <w:sz w:val="24"/>
          <w:szCs w:val="24"/>
        </w:rPr>
        <w:t xml:space="preserve">Buna karşılık, kiraya verenin, önemli ayıplar taşıyan kiralananı teslim etmeyi teklif etmesi, yani onu ifa olarak sunması halinde, kiracı kiralananı kabul etmeyip ifayı reddedebilir. Bu takdirde, kiracı, borçlunun temerrüdüne ilişkin TBK m. 123- 126 hükümlerine başvurabilir; sözleşmeden dönme </w:t>
      </w:r>
      <w:r w:rsidR="0026182D" w:rsidRPr="000B3275">
        <w:rPr>
          <w:rFonts w:ascii="Times New Roman" w:hAnsi="Times New Roman" w:cs="Times New Roman"/>
          <w:sz w:val="24"/>
          <w:szCs w:val="24"/>
        </w:rPr>
        <w:t>imkânını</w:t>
      </w:r>
      <w:r w:rsidRPr="000B3275">
        <w:rPr>
          <w:rFonts w:ascii="Times New Roman" w:hAnsi="Times New Roman" w:cs="Times New Roman"/>
          <w:sz w:val="24"/>
          <w:szCs w:val="24"/>
        </w:rPr>
        <w:t xml:space="preserve"> elde eder.</w:t>
      </w:r>
    </w:p>
    <w:p w14:paraId="6630BA4A" w14:textId="77777777" w:rsidR="000B3275" w:rsidRPr="000B3275" w:rsidRDefault="000B3275" w:rsidP="000B3275">
      <w:pPr>
        <w:spacing w:before="100" w:beforeAutospacing="1" w:after="100" w:afterAutospacing="1" w:line="360" w:lineRule="auto"/>
        <w:jc w:val="both"/>
        <w:rPr>
          <w:rFonts w:ascii="Times New Roman" w:hAnsi="Times New Roman" w:cs="Times New Roman"/>
          <w:sz w:val="24"/>
          <w:szCs w:val="24"/>
        </w:rPr>
      </w:pPr>
      <w:r w:rsidRPr="000B3275">
        <w:rPr>
          <w:rFonts w:ascii="Times New Roman" w:hAnsi="Times New Roman" w:cs="Times New Roman"/>
          <w:sz w:val="24"/>
          <w:szCs w:val="24"/>
        </w:rPr>
        <w:lastRenderedPageBreak/>
        <w:t xml:space="preserve">Kiralananın tesliminden kira sözleşmesinin sona ermesine kadar geçen süre içinde ortaya çıkan ayıplarda TBK m. 305’e göre sorumluluk söz konusu olur. Bu durumda kiracı, kiraya verenden ayıpların giderilmesini veya kira bedelinden ayıpla orantılı bir indirim yapılmasını ya da zararının giderilmesini isteyebilir. Önemli ayıp durumunda kiracı sözleşmeyi feshedebilir. </w:t>
      </w:r>
    </w:p>
    <w:p w14:paraId="76679AD9" w14:textId="77777777" w:rsidR="000B3275" w:rsidRPr="000B3275" w:rsidRDefault="000B3275" w:rsidP="000B3275">
      <w:pPr>
        <w:spacing w:before="100" w:beforeAutospacing="1" w:after="100" w:afterAutospacing="1" w:line="360" w:lineRule="auto"/>
        <w:jc w:val="both"/>
        <w:rPr>
          <w:rFonts w:ascii="Times New Roman" w:hAnsi="Times New Roman" w:cs="Times New Roman"/>
          <w:b/>
          <w:sz w:val="24"/>
          <w:szCs w:val="24"/>
        </w:rPr>
      </w:pPr>
      <w:r w:rsidRPr="000B3275">
        <w:rPr>
          <w:rFonts w:ascii="Times New Roman" w:hAnsi="Times New Roman" w:cs="Times New Roman"/>
          <w:b/>
          <w:sz w:val="24"/>
          <w:szCs w:val="24"/>
        </w:rPr>
        <w:t>II. Kiraya verenin üçüncü kişinin ileri sürdüğü haklar sebebiyle sorumlu olması</w:t>
      </w:r>
    </w:p>
    <w:p w14:paraId="7FAC5B3B" w14:textId="77777777" w:rsidR="000B3275" w:rsidRPr="000B3275" w:rsidRDefault="000B3275" w:rsidP="000B3275">
      <w:pPr>
        <w:spacing w:before="100" w:beforeAutospacing="1" w:after="100" w:afterAutospacing="1" w:line="360" w:lineRule="auto"/>
        <w:jc w:val="both"/>
        <w:rPr>
          <w:rFonts w:ascii="Times New Roman" w:hAnsi="Times New Roman" w:cs="Times New Roman"/>
          <w:b/>
          <w:sz w:val="24"/>
          <w:szCs w:val="24"/>
        </w:rPr>
      </w:pPr>
      <w:r w:rsidRPr="000B3275">
        <w:rPr>
          <w:rFonts w:ascii="Times New Roman" w:hAnsi="Times New Roman" w:cs="Times New Roman"/>
          <w:b/>
          <w:sz w:val="24"/>
          <w:szCs w:val="24"/>
        </w:rPr>
        <w:t>1. Kiraya verenin üçüncü kişinin ileri sürdüğü haklar sebebiyle sorumlu olması</w:t>
      </w:r>
    </w:p>
    <w:p w14:paraId="1234F5ED" w14:textId="77777777" w:rsidR="000B3275" w:rsidRPr="000B3275" w:rsidRDefault="000B3275" w:rsidP="000B3275">
      <w:pPr>
        <w:spacing w:before="100" w:beforeAutospacing="1" w:after="100" w:afterAutospacing="1" w:line="360" w:lineRule="auto"/>
        <w:jc w:val="both"/>
        <w:rPr>
          <w:rFonts w:ascii="Times New Roman" w:hAnsi="Times New Roman" w:cs="Times New Roman"/>
          <w:sz w:val="24"/>
          <w:szCs w:val="24"/>
        </w:rPr>
      </w:pPr>
      <w:r w:rsidRPr="000B3275">
        <w:rPr>
          <w:rFonts w:ascii="Times New Roman" w:hAnsi="Times New Roman" w:cs="Times New Roman"/>
          <w:sz w:val="24"/>
          <w:szCs w:val="24"/>
        </w:rPr>
        <w:t xml:space="preserve">Üçüncü kişinin sözleşmenin kurulması anında mevcut ve kiracının kiralananı kullanma hakkıyla bağdaşmayan bir hak ileri sürmesi gerekir. Üçüncü kişinin ileri sürdüğü hak mülkiyet hakkı, irtifak hakkı veya komşuluk hukukundan doğan bir hak şeklinde olabilir. </w:t>
      </w:r>
    </w:p>
    <w:p w14:paraId="14CB3295" w14:textId="77777777" w:rsidR="000B3275" w:rsidRPr="000B3275" w:rsidRDefault="000B3275" w:rsidP="000B3275">
      <w:pPr>
        <w:spacing w:before="100" w:beforeAutospacing="1" w:after="100" w:afterAutospacing="1" w:line="360" w:lineRule="auto"/>
        <w:jc w:val="both"/>
        <w:rPr>
          <w:rFonts w:ascii="Times New Roman" w:hAnsi="Times New Roman" w:cs="Times New Roman"/>
          <w:sz w:val="24"/>
          <w:szCs w:val="24"/>
        </w:rPr>
      </w:pPr>
      <w:r w:rsidRPr="000B3275">
        <w:rPr>
          <w:rFonts w:ascii="Times New Roman" w:hAnsi="Times New Roman" w:cs="Times New Roman"/>
          <w:sz w:val="24"/>
          <w:szCs w:val="24"/>
        </w:rPr>
        <w:t xml:space="preserve">Şayet üçüncü kişi bu konuda kiracıya karşı dava açmış ise, kiraya veren kiracının bildirimi (ihbarı) üzerine davayı üstlenmek zorundadır. Yapılan bildirime rağmen kiraya veren, davayı üstlenmekten kaçınırsa kiracı yargılamadan çekilebilir. </w:t>
      </w:r>
    </w:p>
    <w:p w14:paraId="52603B6B" w14:textId="77777777" w:rsidR="000B3275" w:rsidRPr="000B3275" w:rsidRDefault="000B3275" w:rsidP="000B3275">
      <w:pPr>
        <w:spacing w:before="100" w:beforeAutospacing="1" w:after="100" w:afterAutospacing="1" w:line="360" w:lineRule="auto"/>
        <w:jc w:val="both"/>
        <w:rPr>
          <w:rFonts w:ascii="Times New Roman" w:hAnsi="Times New Roman" w:cs="Times New Roman"/>
          <w:sz w:val="24"/>
          <w:szCs w:val="24"/>
        </w:rPr>
      </w:pPr>
      <w:r w:rsidRPr="000B3275">
        <w:rPr>
          <w:rFonts w:ascii="Times New Roman" w:hAnsi="Times New Roman" w:cs="Times New Roman"/>
          <w:sz w:val="24"/>
          <w:szCs w:val="24"/>
        </w:rPr>
        <w:t>Üçüncü şahsın üstün hak iddiasını mahkeme yoluyla ileri sürüp, kiracının elinden alması halinde, kiracı, kiraya verenden tazminat talep edebilir; bunun için kusur gereklidir.</w:t>
      </w:r>
    </w:p>
    <w:p w14:paraId="50D4680A" w14:textId="77777777" w:rsidR="000B3275" w:rsidRPr="0026182D" w:rsidRDefault="000B3275" w:rsidP="000B3275">
      <w:pPr>
        <w:pStyle w:val="GvdeMetni2"/>
        <w:jc w:val="both"/>
        <w:rPr>
          <w:rFonts w:ascii="Times New Roman" w:hAnsi="Times New Roman"/>
          <w:b/>
        </w:rPr>
      </w:pPr>
      <w:r w:rsidRPr="0026182D">
        <w:rPr>
          <w:rFonts w:ascii="Times New Roman" w:hAnsi="Times New Roman"/>
          <w:b/>
        </w:rPr>
        <w:t>2. Kiralananın kira sözleşmesi kurulup, kiracıya tesliminden sonra temliki (TBK m. 310)</w:t>
      </w:r>
    </w:p>
    <w:p w14:paraId="7FA81E3F" w14:textId="77777777" w:rsidR="000B3275" w:rsidRPr="0026182D" w:rsidRDefault="000B3275" w:rsidP="000B3275">
      <w:pPr>
        <w:pStyle w:val="GvdeMetni2"/>
        <w:jc w:val="both"/>
        <w:rPr>
          <w:rFonts w:ascii="Times New Roman" w:hAnsi="Times New Roman"/>
        </w:rPr>
      </w:pPr>
      <w:r w:rsidRPr="0026182D">
        <w:rPr>
          <w:rFonts w:ascii="Times New Roman" w:eastAsia="Times New Roman" w:hAnsi="Times New Roman"/>
          <w:lang w:eastAsia="tr-TR"/>
        </w:rPr>
        <w:t xml:space="preserve">Kira sözleşmesi kurulduktan sonra kiraya veren/ malik kira konusu eşyanın mülkiyetini herhangi bir şekilde üçüncü bir kişiye devrederse, yeni malik, hak ve borçlarıyla bire bir kira sözleşmesinin tarafı olur. </w:t>
      </w:r>
      <w:r w:rsidRPr="0026182D">
        <w:rPr>
          <w:rFonts w:ascii="Times New Roman" w:hAnsi="Times New Roman"/>
        </w:rPr>
        <w:t>Üçüncü kişinin/ yeni malikin kira sözleşmesinin tarafı olması için, kanunun lafzına rağmen, devir işleminin kira sözleşmesinin kurulmasından sonra yapılması yeterli değildir; ayrıca kiralananın kiracıya teslim edilmiş olması gerekir.</w:t>
      </w:r>
    </w:p>
    <w:p w14:paraId="6F9D5630" w14:textId="77777777" w:rsidR="000B3275" w:rsidRPr="0026182D" w:rsidRDefault="000B3275" w:rsidP="000B3275">
      <w:pPr>
        <w:pStyle w:val="GvdeMetni2"/>
        <w:jc w:val="both"/>
        <w:rPr>
          <w:rFonts w:ascii="Times New Roman" w:hAnsi="Times New Roman"/>
        </w:rPr>
      </w:pPr>
      <w:r w:rsidRPr="0026182D">
        <w:rPr>
          <w:rFonts w:ascii="Times New Roman" w:hAnsi="Times New Roman"/>
        </w:rPr>
        <w:t xml:space="preserve">Kiralanan üzerindeki mülkiyet hakkının geçişiyle birlikte yeni malik kanun gereği kira sözleşmesinin tarafı olur (TBK m. 310/ I); mülkiyetin geçtiği andan itibaren kira sözleşmesinden doğan hakkın sahibi ve borcun yükümlüsü olur. Bu andan önceki mevcut hakları (ödenmemiş alacağı) ve borçları (kiracının ileri sürdüğü kira bedelinin indirimi talebi) kiralayan eski malik ve kiracı arasında kalır; taraf değişikliği geriye olarak değil, ileriye dönük olarak sonuç doğurur. </w:t>
      </w:r>
    </w:p>
    <w:p w14:paraId="020060A9" w14:textId="77777777" w:rsidR="000B3275" w:rsidRPr="0026182D" w:rsidRDefault="000B3275" w:rsidP="000B3275">
      <w:pPr>
        <w:pStyle w:val="GvdeMetni2"/>
        <w:jc w:val="both"/>
        <w:rPr>
          <w:rFonts w:ascii="Times New Roman" w:eastAsia="Times New Roman" w:hAnsi="Times New Roman"/>
          <w:lang w:eastAsia="tr-TR"/>
        </w:rPr>
      </w:pPr>
      <w:r w:rsidRPr="0026182D">
        <w:rPr>
          <w:rFonts w:ascii="Times New Roman" w:eastAsia="Times New Roman" w:hAnsi="Times New Roman"/>
          <w:lang w:eastAsia="tr-TR"/>
        </w:rPr>
        <w:lastRenderedPageBreak/>
        <w:t xml:space="preserve">Kiralananın mülkiyetinin devri ile kiraya veren/ eski malik, kiraya veren durumundan çıkar ve kiralananın kullanımı hazır bulundurmak yükümünden kurtulur. Buna karşı daha önce muaccel olanlar hariç kira bedelinin kendisine ödenmesini isteyemez. </w:t>
      </w:r>
    </w:p>
    <w:p w14:paraId="6388D230" w14:textId="77777777" w:rsidR="000B3275" w:rsidRPr="0026182D" w:rsidRDefault="000B3275" w:rsidP="000B3275">
      <w:pPr>
        <w:pStyle w:val="GvdeMetni2"/>
        <w:jc w:val="both"/>
        <w:rPr>
          <w:rFonts w:ascii="Times New Roman" w:eastAsia="Times New Roman" w:hAnsi="Times New Roman"/>
          <w:lang w:eastAsia="tr-TR"/>
        </w:rPr>
      </w:pPr>
      <w:r w:rsidRPr="0026182D">
        <w:rPr>
          <w:rFonts w:ascii="Times New Roman" w:eastAsia="Times New Roman" w:hAnsi="Times New Roman"/>
          <w:lang w:eastAsia="tr-TR"/>
        </w:rPr>
        <w:t xml:space="preserve">Kamulaştırma halinde idare adına tescil yapıldıktan sonra, kiracı, kiralanandan çıkartılır. Bu durumda TBK m. 136 anlamında borçlunun sorumlu olmadığı sonraki imkânsızlık söz konusu olduğu için kiracı kiraya verenden tazminat talep edemez. </w:t>
      </w:r>
    </w:p>
    <w:p w14:paraId="12F46E62" w14:textId="77777777" w:rsidR="000B3275" w:rsidRPr="0026182D" w:rsidRDefault="000B3275" w:rsidP="000B3275">
      <w:pPr>
        <w:pStyle w:val="GvdeMetni2"/>
        <w:jc w:val="both"/>
        <w:rPr>
          <w:rFonts w:ascii="Times New Roman" w:eastAsia="Times New Roman" w:hAnsi="Times New Roman"/>
          <w:lang w:eastAsia="tr-TR"/>
        </w:rPr>
      </w:pPr>
      <w:r w:rsidRPr="0026182D">
        <w:rPr>
          <w:rFonts w:ascii="Times New Roman" w:eastAsia="Times New Roman" w:hAnsi="Times New Roman"/>
          <w:lang w:eastAsia="tr-TR"/>
        </w:rPr>
        <w:t>Sözleşme kurulup kira konusu eşya kiracıya teslim edildikten sonra, kiraya verenin kiralanan üzerinde üçüncü bir kişiye mülkiyetin devrine eş değer önemde bir sınırlı ayni hak tesis etmesi halinde kiralananın el değiştirmesiyle ilgili hükümler kıyas yoluyla uygulanır.</w:t>
      </w:r>
    </w:p>
    <w:p w14:paraId="463B6225" w14:textId="77777777" w:rsidR="000B3275" w:rsidRPr="0026182D" w:rsidRDefault="000B3275" w:rsidP="000B3275">
      <w:pPr>
        <w:pStyle w:val="GvdeMetni2"/>
        <w:jc w:val="both"/>
        <w:rPr>
          <w:rFonts w:ascii="Times New Roman" w:eastAsia="Times New Roman" w:hAnsi="Times New Roman"/>
          <w:lang w:eastAsia="tr-TR"/>
        </w:rPr>
      </w:pPr>
      <w:r w:rsidRPr="0026182D">
        <w:rPr>
          <w:rFonts w:ascii="Times New Roman" w:eastAsia="Times New Roman" w:hAnsi="Times New Roman"/>
          <w:lang w:eastAsia="tr-TR"/>
        </w:rPr>
        <w:t xml:space="preserve">Kiracının kira sözleşmesinden doğan kullanma hakkı, kiraya veren ile kiracı arasında yapılacak şerh anlaşmasına dayanarak tapu kütüğüne şerh verilebilir. Kira sözleşmesinin şerhi yeni malikin TBK m. 351’e dayanarak tahliye davası açma ihtimalini ortadan kaldırır. </w:t>
      </w:r>
    </w:p>
    <w:p w14:paraId="6F30F649" w14:textId="77777777" w:rsidR="000B3275" w:rsidRPr="0026182D" w:rsidRDefault="000B3275" w:rsidP="000B3275">
      <w:pPr>
        <w:pStyle w:val="Balk2"/>
        <w:spacing w:before="100" w:beforeAutospacing="1" w:after="100" w:afterAutospacing="1" w:line="360" w:lineRule="auto"/>
        <w:jc w:val="both"/>
        <w:rPr>
          <w:rFonts w:ascii="Times New Roman" w:hAnsi="Times New Roman" w:cs="Times New Roman"/>
          <w:b/>
          <w:color w:val="auto"/>
          <w:sz w:val="24"/>
          <w:szCs w:val="24"/>
        </w:rPr>
      </w:pPr>
      <w:r w:rsidRPr="0026182D">
        <w:rPr>
          <w:rFonts w:ascii="Times New Roman" w:hAnsi="Times New Roman" w:cs="Times New Roman"/>
          <w:b/>
          <w:color w:val="auto"/>
          <w:sz w:val="24"/>
          <w:szCs w:val="24"/>
        </w:rPr>
        <w:t>III. Vergi ve yan giderlere katılma borcu</w:t>
      </w:r>
    </w:p>
    <w:p w14:paraId="44654E59" w14:textId="77777777" w:rsidR="000B3275" w:rsidRPr="000B3275" w:rsidRDefault="000B3275" w:rsidP="000B3275">
      <w:pPr>
        <w:spacing w:before="100" w:beforeAutospacing="1" w:after="100" w:afterAutospacing="1" w:line="360" w:lineRule="auto"/>
        <w:jc w:val="both"/>
        <w:rPr>
          <w:rFonts w:ascii="Times New Roman" w:hAnsi="Times New Roman" w:cs="Times New Roman"/>
          <w:sz w:val="24"/>
          <w:szCs w:val="24"/>
        </w:rPr>
      </w:pPr>
      <w:r w:rsidRPr="000B3275">
        <w:rPr>
          <w:rFonts w:ascii="Times New Roman" w:hAnsi="Times New Roman" w:cs="Times New Roman"/>
          <w:sz w:val="24"/>
          <w:szCs w:val="24"/>
        </w:rPr>
        <w:t>Kiraya veren, malik sıfatıyla mükellef olduğu emlak vergisini, aksi kararlaştırılmadıkça ödemek zorundadır. Buna karşılık 3914 sayılı kanunla 2464 sayılı Belediye Gelirleri Kanunu’na eklenen mükerrer 44. maddenin II. fıkrasına göre, kiracılar çevre temizlik vergisinin mükellefidirler.</w:t>
      </w:r>
    </w:p>
    <w:p w14:paraId="7D7B81AC" w14:textId="77777777" w:rsidR="000B3275" w:rsidRDefault="000B3275" w:rsidP="000B3275">
      <w:pPr>
        <w:spacing w:before="100" w:beforeAutospacing="1" w:after="100" w:afterAutospacing="1" w:line="360" w:lineRule="auto"/>
        <w:jc w:val="both"/>
        <w:rPr>
          <w:rFonts w:ascii="Times New Roman" w:hAnsi="Times New Roman" w:cs="Times New Roman"/>
          <w:sz w:val="24"/>
          <w:szCs w:val="24"/>
        </w:rPr>
      </w:pPr>
      <w:r w:rsidRPr="000B3275">
        <w:rPr>
          <w:rFonts w:ascii="Times New Roman" w:hAnsi="Times New Roman" w:cs="Times New Roman"/>
          <w:sz w:val="24"/>
          <w:szCs w:val="24"/>
        </w:rPr>
        <w:t xml:space="preserve">Doğrudan doğruya kiralananın kullanılmasına bağlı olmayan (elektrik, su ve ısıtma gibi) ve genel giderlere dâhil olmayan harcamaların, mesela çatı onarımı, dış sıva, bahçe düzenlenmesi ve park yerlerinin tanzimi gibi kalemler kiracının yan giderlere katılma borcunun kapsamındadır. </w:t>
      </w:r>
    </w:p>
    <w:p w14:paraId="062A9F6B" w14:textId="77777777" w:rsidR="00DD155D" w:rsidRDefault="00DD155D" w:rsidP="000B3275">
      <w:pPr>
        <w:spacing w:before="100" w:beforeAutospacing="1" w:after="100" w:afterAutospacing="1" w:line="360" w:lineRule="auto"/>
        <w:jc w:val="both"/>
        <w:rPr>
          <w:rFonts w:ascii="Times New Roman" w:hAnsi="Times New Roman" w:cs="Times New Roman"/>
          <w:sz w:val="24"/>
          <w:szCs w:val="24"/>
        </w:rPr>
      </w:pPr>
    </w:p>
    <w:p w14:paraId="2C329022" w14:textId="77777777" w:rsidR="00DD155D" w:rsidRDefault="00DD155D" w:rsidP="000B3275">
      <w:pPr>
        <w:spacing w:before="100" w:beforeAutospacing="1" w:after="100" w:afterAutospacing="1" w:line="360" w:lineRule="auto"/>
        <w:jc w:val="both"/>
        <w:rPr>
          <w:rFonts w:ascii="Times New Roman" w:hAnsi="Times New Roman" w:cs="Times New Roman"/>
          <w:sz w:val="24"/>
          <w:szCs w:val="24"/>
        </w:rPr>
      </w:pPr>
    </w:p>
    <w:p w14:paraId="2AD02E09" w14:textId="77777777" w:rsidR="00DD155D" w:rsidRPr="000C54FD" w:rsidRDefault="00DD155D" w:rsidP="00DD155D">
      <w:pPr>
        <w:spacing w:before="100" w:beforeAutospacing="1" w:after="100" w:afterAutospacing="1" w:line="360" w:lineRule="auto"/>
        <w:jc w:val="both"/>
        <w:rPr>
          <w:rFonts w:ascii="Times New Roman" w:hAnsi="Times New Roman" w:cs="Times New Roman"/>
          <w:sz w:val="24"/>
          <w:szCs w:val="24"/>
        </w:rPr>
      </w:pPr>
      <w:r>
        <w:rPr>
          <w:rFonts w:ascii="Times New Roman" w:hAnsi="Times New Roman" w:cs="Times New Roman"/>
          <w:sz w:val="24"/>
          <w:szCs w:val="24"/>
        </w:rPr>
        <w:t>Kaynak: Aral, Fahrettin / Ayrancı, Hasan, Borçlar Hukuku Özel Hükümler</w:t>
      </w:r>
    </w:p>
    <w:p w14:paraId="0F82E644" w14:textId="77777777" w:rsidR="00DD155D" w:rsidRPr="000B3275" w:rsidRDefault="00DD155D" w:rsidP="000B3275">
      <w:pPr>
        <w:spacing w:before="100" w:beforeAutospacing="1" w:after="100" w:afterAutospacing="1" w:line="360" w:lineRule="auto"/>
        <w:jc w:val="both"/>
        <w:rPr>
          <w:rFonts w:ascii="Times New Roman" w:hAnsi="Times New Roman" w:cs="Times New Roman"/>
          <w:b/>
          <w:sz w:val="24"/>
          <w:szCs w:val="24"/>
        </w:rPr>
      </w:pPr>
      <w:bookmarkStart w:id="0" w:name="_GoBack"/>
      <w:bookmarkEnd w:id="0"/>
    </w:p>
    <w:sectPr w:rsidR="00DD155D" w:rsidRPr="000B327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178CE7E" w14:textId="77777777" w:rsidR="008677C2" w:rsidRDefault="008677C2" w:rsidP="004A09E2">
      <w:pPr>
        <w:spacing w:after="0" w:line="240" w:lineRule="auto"/>
      </w:pPr>
      <w:r>
        <w:separator/>
      </w:r>
    </w:p>
  </w:endnote>
  <w:endnote w:type="continuationSeparator" w:id="0">
    <w:p w14:paraId="61CAEED5" w14:textId="77777777" w:rsidR="008677C2" w:rsidRDefault="008677C2" w:rsidP="004A09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E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F423958" w14:textId="77777777" w:rsidR="008677C2" w:rsidRDefault="008677C2" w:rsidP="004A09E2">
      <w:pPr>
        <w:spacing w:after="0" w:line="240" w:lineRule="auto"/>
      </w:pPr>
      <w:r>
        <w:separator/>
      </w:r>
    </w:p>
  </w:footnote>
  <w:footnote w:type="continuationSeparator" w:id="0">
    <w:p w14:paraId="31C99966" w14:textId="77777777" w:rsidR="008677C2" w:rsidRDefault="008677C2" w:rsidP="004A09E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7282"/>
    <w:rsid w:val="00023803"/>
    <w:rsid w:val="000610BB"/>
    <w:rsid w:val="000B3275"/>
    <w:rsid w:val="00140C0E"/>
    <w:rsid w:val="0015376C"/>
    <w:rsid w:val="00173F6D"/>
    <w:rsid w:val="001B6F98"/>
    <w:rsid w:val="001D2037"/>
    <w:rsid w:val="0026182D"/>
    <w:rsid w:val="00273FCE"/>
    <w:rsid w:val="002945AB"/>
    <w:rsid w:val="003100ED"/>
    <w:rsid w:val="00435680"/>
    <w:rsid w:val="00451F90"/>
    <w:rsid w:val="004A09E2"/>
    <w:rsid w:val="005114C8"/>
    <w:rsid w:val="005D7F58"/>
    <w:rsid w:val="00687282"/>
    <w:rsid w:val="00797AE5"/>
    <w:rsid w:val="008677C2"/>
    <w:rsid w:val="0087534C"/>
    <w:rsid w:val="00890FC5"/>
    <w:rsid w:val="00A04707"/>
    <w:rsid w:val="00A21710"/>
    <w:rsid w:val="00AB2D0F"/>
    <w:rsid w:val="00B71A14"/>
    <w:rsid w:val="00BC541F"/>
    <w:rsid w:val="00BE400D"/>
    <w:rsid w:val="00DD155D"/>
    <w:rsid w:val="00E22091"/>
    <w:rsid w:val="00E24442"/>
    <w:rsid w:val="00E34E31"/>
    <w:rsid w:val="00E35B96"/>
    <w:rsid w:val="00E537F4"/>
    <w:rsid w:val="00F15CA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DDAA28"/>
  <w15:chartTrackingRefBased/>
  <w15:docId w15:val="{89658362-8EB4-463F-83F6-6EF62C3628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273FCE"/>
  </w:style>
  <w:style w:type="paragraph" w:styleId="Balk1">
    <w:name w:val="heading 1"/>
    <w:basedOn w:val="Normal"/>
    <w:next w:val="Normal"/>
    <w:link w:val="Balk1Char"/>
    <w:uiPriority w:val="9"/>
    <w:qFormat/>
    <w:rsid w:val="00797AE5"/>
    <w:pPr>
      <w:keepNext/>
      <w:spacing w:before="100" w:beforeAutospacing="1" w:after="100" w:afterAutospacing="1" w:line="360" w:lineRule="auto"/>
      <w:jc w:val="both"/>
      <w:outlineLvl w:val="0"/>
    </w:pPr>
    <w:rPr>
      <w:rFonts w:ascii="Times New Roman" w:hAnsi="Times New Roman" w:cs="Times New Roman"/>
      <w:b/>
      <w:sz w:val="24"/>
      <w:szCs w:val="24"/>
    </w:rPr>
  </w:style>
  <w:style w:type="paragraph" w:styleId="Balk2">
    <w:name w:val="heading 2"/>
    <w:basedOn w:val="Normal"/>
    <w:next w:val="Normal"/>
    <w:link w:val="Balk2Char"/>
    <w:uiPriority w:val="9"/>
    <w:semiHidden/>
    <w:unhideWhenUsed/>
    <w:qFormat/>
    <w:rsid w:val="001B6F98"/>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Balk3">
    <w:name w:val="heading 3"/>
    <w:basedOn w:val="Normal"/>
    <w:next w:val="Normal"/>
    <w:link w:val="Balk3Char"/>
    <w:uiPriority w:val="9"/>
    <w:unhideWhenUsed/>
    <w:qFormat/>
    <w:rsid w:val="00273FCE"/>
    <w:pPr>
      <w:keepNext/>
      <w:spacing w:after="0" w:line="240" w:lineRule="auto"/>
      <w:outlineLvl w:val="2"/>
    </w:pPr>
    <w:rPr>
      <w:rFonts w:cs="Times New Roman"/>
      <w:b/>
      <w:sz w:val="24"/>
      <w:szCs w:val="24"/>
    </w:rPr>
  </w:style>
  <w:style w:type="paragraph" w:styleId="Balk4">
    <w:name w:val="heading 4"/>
    <w:basedOn w:val="Normal"/>
    <w:next w:val="Normal"/>
    <w:link w:val="Balk4Char"/>
    <w:uiPriority w:val="9"/>
    <w:semiHidden/>
    <w:unhideWhenUsed/>
    <w:qFormat/>
    <w:rsid w:val="00E537F4"/>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Balk5">
    <w:name w:val="heading 5"/>
    <w:basedOn w:val="Normal"/>
    <w:next w:val="Normal"/>
    <w:link w:val="Balk5Char"/>
    <w:uiPriority w:val="9"/>
    <w:semiHidden/>
    <w:unhideWhenUsed/>
    <w:qFormat/>
    <w:rsid w:val="00E537F4"/>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3Char">
    <w:name w:val="Başlık 3 Char"/>
    <w:basedOn w:val="VarsaylanParagrafYazTipi"/>
    <w:link w:val="Balk3"/>
    <w:uiPriority w:val="9"/>
    <w:rsid w:val="00273FCE"/>
    <w:rPr>
      <w:rFonts w:cs="Times New Roman"/>
      <w:b/>
      <w:sz w:val="24"/>
      <w:szCs w:val="24"/>
    </w:rPr>
  </w:style>
  <w:style w:type="paragraph" w:styleId="GvdeMetni">
    <w:name w:val="Body Text"/>
    <w:basedOn w:val="Normal"/>
    <w:link w:val="GvdeMetniChar"/>
    <w:uiPriority w:val="99"/>
    <w:unhideWhenUsed/>
    <w:rsid w:val="00273FCE"/>
    <w:pPr>
      <w:spacing w:before="100" w:beforeAutospacing="1" w:after="100" w:afterAutospacing="1" w:line="360" w:lineRule="auto"/>
      <w:jc w:val="both"/>
    </w:pPr>
    <w:rPr>
      <w:sz w:val="24"/>
      <w:szCs w:val="24"/>
    </w:rPr>
  </w:style>
  <w:style w:type="character" w:customStyle="1" w:styleId="GvdeMetniChar">
    <w:name w:val="Gövde Metni Char"/>
    <w:basedOn w:val="VarsaylanParagrafYazTipi"/>
    <w:link w:val="GvdeMetni"/>
    <w:uiPriority w:val="99"/>
    <w:rsid w:val="00273FCE"/>
    <w:rPr>
      <w:sz w:val="24"/>
      <w:szCs w:val="24"/>
    </w:rPr>
  </w:style>
  <w:style w:type="character" w:customStyle="1" w:styleId="Balk2Char">
    <w:name w:val="Başlık 2 Char"/>
    <w:basedOn w:val="VarsaylanParagrafYazTipi"/>
    <w:link w:val="Balk2"/>
    <w:uiPriority w:val="9"/>
    <w:semiHidden/>
    <w:rsid w:val="001B6F98"/>
    <w:rPr>
      <w:rFonts w:asciiTheme="majorHAnsi" w:eastAsiaTheme="majorEastAsia" w:hAnsiTheme="majorHAnsi" w:cstheme="majorBidi"/>
      <w:color w:val="2E74B5" w:themeColor="accent1" w:themeShade="BF"/>
      <w:sz w:val="26"/>
      <w:szCs w:val="26"/>
    </w:rPr>
  </w:style>
  <w:style w:type="table" w:styleId="TabloKlavuzu">
    <w:name w:val="Table Grid"/>
    <w:basedOn w:val="NormalTablo"/>
    <w:uiPriority w:val="39"/>
    <w:rsid w:val="001B6F9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GvdeMetni2">
    <w:name w:val="Body Text 2"/>
    <w:basedOn w:val="Normal"/>
    <w:link w:val="GvdeMetni2Char"/>
    <w:uiPriority w:val="99"/>
    <w:unhideWhenUsed/>
    <w:rsid w:val="001B6F98"/>
    <w:pPr>
      <w:spacing w:before="100" w:beforeAutospacing="1" w:after="100" w:afterAutospacing="1" w:line="360" w:lineRule="auto"/>
    </w:pPr>
    <w:rPr>
      <w:rFonts w:ascii="Calibri" w:hAnsi="Calibri" w:cs="Times New Roman"/>
      <w:sz w:val="24"/>
      <w:szCs w:val="24"/>
    </w:rPr>
  </w:style>
  <w:style w:type="character" w:customStyle="1" w:styleId="GvdeMetni2Char">
    <w:name w:val="Gövde Metni 2 Char"/>
    <w:basedOn w:val="VarsaylanParagrafYazTipi"/>
    <w:link w:val="GvdeMetni2"/>
    <w:uiPriority w:val="99"/>
    <w:rsid w:val="001B6F98"/>
    <w:rPr>
      <w:rFonts w:ascii="Calibri" w:hAnsi="Calibri" w:cs="Times New Roman"/>
      <w:sz w:val="24"/>
      <w:szCs w:val="24"/>
    </w:rPr>
  </w:style>
  <w:style w:type="paragraph" w:styleId="DipnotMetni">
    <w:name w:val="footnote text"/>
    <w:basedOn w:val="Normal"/>
    <w:link w:val="DipnotMetniChar"/>
    <w:semiHidden/>
    <w:rsid w:val="004A09E2"/>
    <w:pPr>
      <w:spacing w:before="20" w:after="20" w:line="240" w:lineRule="auto"/>
      <w:ind w:left="340" w:hanging="340"/>
      <w:jc w:val="both"/>
    </w:pPr>
    <w:rPr>
      <w:rFonts w:ascii="Times New Roman" w:eastAsia="Times New Roman" w:hAnsi="Times New Roman" w:cs="Times New Roman"/>
      <w:sz w:val="20"/>
      <w:szCs w:val="20"/>
      <w:lang w:eastAsia="tr-TR"/>
    </w:rPr>
  </w:style>
  <w:style w:type="character" w:customStyle="1" w:styleId="DipnotMetniChar">
    <w:name w:val="Dipnot Metni Char"/>
    <w:basedOn w:val="VarsaylanParagrafYazTipi"/>
    <w:link w:val="DipnotMetni"/>
    <w:semiHidden/>
    <w:rsid w:val="004A09E2"/>
    <w:rPr>
      <w:rFonts w:ascii="Times New Roman" w:eastAsia="Times New Roman" w:hAnsi="Times New Roman" w:cs="Times New Roman"/>
      <w:sz w:val="20"/>
      <w:szCs w:val="20"/>
      <w:lang w:eastAsia="tr-TR"/>
    </w:rPr>
  </w:style>
  <w:style w:type="character" w:styleId="DipnotBavurusu">
    <w:name w:val="footnote reference"/>
    <w:basedOn w:val="VarsaylanParagrafYazTipi"/>
    <w:semiHidden/>
    <w:rsid w:val="004A09E2"/>
    <w:rPr>
      <w:vertAlign w:val="superscript"/>
    </w:rPr>
  </w:style>
  <w:style w:type="character" w:customStyle="1" w:styleId="Balk4Char">
    <w:name w:val="Başlık 4 Char"/>
    <w:basedOn w:val="VarsaylanParagrafYazTipi"/>
    <w:link w:val="Balk4"/>
    <w:uiPriority w:val="9"/>
    <w:semiHidden/>
    <w:rsid w:val="00E537F4"/>
    <w:rPr>
      <w:rFonts w:asciiTheme="majorHAnsi" w:eastAsiaTheme="majorEastAsia" w:hAnsiTheme="majorHAnsi" w:cstheme="majorBidi"/>
      <w:i/>
      <w:iCs/>
      <w:color w:val="2E74B5" w:themeColor="accent1" w:themeShade="BF"/>
    </w:rPr>
  </w:style>
  <w:style w:type="character" w:customStyle="1" w:styleId="Balk5Char">
    <w:name w:val="Başlık 5 Char"/>
    <w:basedOn w:val="VarsaylanParagrafYazTipi"/>
    <w:link w:val="Balk5"/>
    <w:uiPriority w:val="9"/>
    <w:semiHidden/>
    <w:rsid w:val="00E537F4"/>
    <w:rPr>
      <w:rFonts w:asciiTheme="majorHAnsi" w:eastAsiaTheme="majorEastAsia" w:hAnsiTheme="majorHAnsi" w:cstheme="majorBidi"/>
      <w:color w:val="2E74B5" w:themeColor="accent1" w:themeShade="BF"/>
    </w:rPr>
  </w:style>
  <w:style w:type="character" w:customStyle="1" w:styleId="Balk1Char">
    <w:name w:val="Başlık 1 Char"/>
    <w:basedOn w:val="VarsaylanParagrafYazTipi"/>
    <w:link w:val="Balk1"/>
    <w:uiPriority w:val="9"/>
    <w:rsid w:val="00797AE5"/>
    <w:rPr>
      <w:rFonts w:ascii="Times New Roman" w:hAnsi="Times New Roman" w:cs="Times New Roman"/>
      <w:b/>
      <w:sz w:val="24"/>
      <w:szCs w:val="24"/>
    </w:rPr>
  </w:style>
  <w:style w:type="paragraph" w:customStyle="1" w:styleId="5pt">
    <w:name w:val="5 pt"/>
    <w:basedOn w:val="Normal"/>
    <w:rsid w:val="00E34E31"/>
    <w:pPr>
      <w:spacing w:after="0" w:line="240" w:lineRule="auto"/>
      <w:ind w:firstLine="340"/>
      <w:jc w:val="both"/>
    </w:pPr>
    <w:rPr>
      <w:rFonts w:ascii="Times New Roman" w:eastAsia="Times New Roman" w:hAnsi="Times New Roman" w:cs="Times New Roman"/>
      <w:sz w:val="10"/>
      <w:szCs w:val="20"/>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otnotes" Target="footnotes.xml"/><Relationship Id="rId5" Type="http://schemas.openxmlformats.org/officeDocument/2006/relationships/endnotes" Target="endnote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839</Words>
  <Characters>4784</Characters>
  <Application>Microsoft Macintosh Word</Application>
  <DocSecurity>0</DocSecurity>
  <Lines>39</Lines>
  <Paragraphs>11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duygu</dc:creator>
  <cp:keywords/>
  <dc:description/>
  <cp:lastModifiedBy>Ali Şahbaz</cp:lastModifiedBy>
  <cp:revision>5</cp:revision>
  <dcterms:created xsi:type="dcterms:W3CDTF">2018-01-04T09:44:00Z</dcterms:created>
  <dcterms:modified xsi:type="dcterms:W3CDTF">2018-10-23T14:23:00Z</dcterms:modified>
</cp:coreProperties>
</file>