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ED423" w14:textId="77777777"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w:t>
      </w:r>
    </w:p>
    <w:p w14:paraId="2D1D0FBE"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Vekâlet sözleşmesi, vekilin başkasının menfaatine ve iradesine uygun olarak bir iş görme borcu altına girdiği bir sözleşme olarak tanımlanabilir. </w:t>
      </w:r>
    </w:p>
    <w:p w14:paraId="4EF1BB5F"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 borç doğuran ve rızaî bir sözleşmedir.</w:t>
      </w:r>
      <w:r>
        <w:rPr>
          <w:rFonts w:ascii="Times New Roman" w:hAnsi="Times New Roman" w:cs="Times New Roman"/>
          <w:sz w:val="24"/>
          <w:szCs w:val="24"/>
        </w:rPr>
        <w:t xml:space="preserve"> </w:t>
      </w:r>
      <w:r w:rsidRPr="00472705">
        <w:rPr>
          <w:rFonts w:ascii="Times New Roman" w:hAnsi="Times New Roman" w:cs="Times New Roman"/>
          <w:sz w:val="24"/>
          <w:szCs w:val="24"/>
        </w:rPr>
        <w:t>Vekâlet sözleşmesinde, TBK m. 502/III gereğince, sözleşmey</w:t>
      </w:r>
      <w:r w:rsidRPr="00472705">
        <w:rPr>
          <w:rFonts w:ascii="Times New Roman" w:hAnsi="Times New Roman" w:cs="Times New Roman"/>
          <w:sz w:val="24"/>
          <w:szCs w:val="24"/>
        </w:rPr>
        <w:softHyphen/>
        <w:t>le kararlaştırılan veya teamülün bulunduğu hallerde, vekil ücret talep edebilir. Bu şekilde vekalet verenin ücret ödemekle yükümlü olduğu durumlarda, vekâlet sözleşmesi tam iki tarafa borç yükleyen sözleşme niteliği taşır. Buna karşılık, vekalet verenin ücret ödeme borcunun bulunmaması halinde, vekâlet sözleşmesi, eksik iki tarafa borç yükleyen sözleşme niteliğindedir.</w:t>
      </w:r>
    </w:p>
    <w:p w14:paraId="2AAE1310"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Belirli bir işin görülmesini amaçlayan vekâletler hariç, vekâlet sözleşmesiyle taraflar arasında devamlı borç ilişkisine benzer bir ilişki doğar. </w:t>
      </w:r>
    </w:p>
    <w:p w14:paraId="731E27B3"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Bir hukukî işlemin (satım, kira gibi) veya hukukî işlem benzerinin (ihtar veya mehil tayini gibi) başkası adına veya hesabına yapılması "hukukî fiillere ilişkin vekâletin" (Rechtshandlungsauftrag) konusunu teşkil eder. Buna karşılık maddî fiillerin yapılmasına ilişkin vekâlette (Tathandlungsauftrag) vekil herhangi bir maddî fiilin, fiilî bir hizmetin ifasını taahhüt eder.</w:t>
      </w:r>
      <w:r>
        <w:rPr>
          <w:rFonts w:ascii="Times New Roman" w:hAnsi="Times New Roman" w:cs="Times New Roman"/>
          <w:sz w:val="24"/>
          <w:szCs w:val="24"/>
        </w:rPr>
        <w:t xml:space="preserve"> </w:t>
      </w:r>
      <w:r w:rsidRPr="00472705">
        <w:rPr>
          <w:rFonts w:ascii="Times New Roman" w:hAnsi="Times New Roman" w:cs="Times New Roman"/>
          <w:sz w:val="24"/>
          <w:szCs w:val="24"/>
        </w:rPr>
        <w:t>Vekilin gördüğü işin başkasına ait olması ve onun menfaatine yapılması gerekir.</w:t>
      </w:r>
      <w:r>
        <w:rPr>
          <w:rFonts w:ascii="Times New Roman" w:hAnsi="Times New Roman" w:cs="Times New Roman"/>
          <w:sz w:val="24"/>
          <w:szCs w:val="24"/>
        </w:rPr>
        <w:t xml:space="preserve"> </w:t>
      </w:r>
    </w:p>
    <w:p w14:paraId="66E5E487" w14:textId="77777777" w:rsidR="005C3041" w:rsidRPr="00472705" w:rsidRDefault="005C3041" w:rsidP="005C3041">
      <w:pPr>
        <w:spacing w:before="100" w:beforeAutospacing="1" w:after="100" w:afterAutospacing="1" w:line="360" w:lineRule="auto"/>
        <w:jc w:val="both"/>
        <w:rPr>
          <w:rFonts w:ascii="Times New Roman" w:hAnsi="Times New Roman" w:cs="Times New Roman"/>
          <w:spacing w:val="-2"/>
          <w:sz w:val="24"/>
          <w:szCs w:val="24"/>
        </w:rPr>
      </w:pPr>
      <w:r w:rsidRPr="00472705">
        <w:rPr>
          <w:rFonts w:ascii="Times New Roman" w:hAnsi="Times New Roman" w:cs="Times New Roman"/>
          <w:sz w:val="24"/>
          <w:szCs w:val="24"/>
        </w:rPr>
        <w:t>Vekil, kendisine bırakılan işi veya hizmeti sözleşmeye uygun ola</w:t>
      </w:r>
      <w:r w:rsidRPr="00472705">
        <w:rPr>
          <w:rFonts w:ascii="Times New Roman" w:hAnsi="Times New Roman" w:cs="Times New Roman"/>
          <w:sz w:val="24"/>
          <w:szCs w:val="24"/>
        </w:rPr>
        <w:softHyphen/>
        <w:t xml:space="preserve">rak ifa etmekle yükümlüdür. O, vekâlet sözleşmesiyle, bir edim sonucunu değil, belirli bir sonuca yönelik edim fiilinde bulunmayı taahhüt </w:t>
      </w:r>
      <w:r w:rsidRPr="00472705">
        <w:rPr>
          <w:rFonts w:ascii="Times New Roman" w:hAnsi="Times New Roman" w:cs="Times New Roman"/>
          <w:spacing w:val="-2"/>
          <w:sz w:val="24"/>
          <w:szCs w:val="24"/>
        </w:rPr>
        <w:t>etmektedir. Vekil yüklendiği iş görme edimini özenle yerine getirmekle yükümlü olup, istenen sonucun gerçekleşmemesinden sorumlu değildir.</w:t>
      </w:r>
    </w:p>
    <w:p w14:paraId="1C7CFB77"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sözleşmesinde vekile ücret ödenmesi bu sözleşmenin zorunlu ve kanunî bir unsuru değildir. Gerçekten, TBK m. 502/III’e göre, sözleşmede öngörülmüşse veya teamül varsa, vekil ücrete hak kazanır. Tarafların ücreti kararlaştırmamaları halinde, vekile ücret öden</w:t>
      </w:r>
      <w:r w:rsidRPr="00472705">
        <w:rPr>
          <w:rFonts w:ascii="Times New Roman" w:hAnsi="Times New Roman" w:cs="Times New Roman"/>
          <w:sz w:val="24"/>
          <w:szCs w:val="24"/>
        </w:rPr>
        <w:softHyphen/>
        <w:t>me</w:t>
      </w:r>
      <w:r w:rsidRPr="00472705">
        <w:rPr>
          <w:rFonts w:ascii="Times New Roman" w:hAnsi="Times New Roman" w:cs="Times New Roman"/>
          <w:sz w:val="24"/>
          <w:szCs w:val="24"/>
        </w:rPr>
        <w:softHyphen/>
        <w:t xml:space="preserve">si konusunda bir teamül varsa, vekalet veren ücret ödemek zorundadır. Böyle bir teamül bulunduğu takdirde, tarafların ücret anlaşması yapmalarına veya teamülü sözleşmede zikretmelerine gerek olmadan ücret yükümü doğar. </w:t>
      </w:r>
    </w:p>
    <w:p w14:paraId="01C7D7B4"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Kanunda düzenlenen diğer sözleşme tiplerine uymayan ve tarafların açıkça isimsiz (sui generis) bir sözleşme şeklinde düzenlemedikleri iş görme sözleşmeleri vekâlet hükümlerine tâbi olur.</w:t>
      </w:r>
    </w:p>
    <w:p w14:paraId="6AAAD534"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lastRenderedPageBreak/>
        <w:t>Vekâlet sözleşmesi rızaî bir sözleşme olarak, tarafların karşılıklı ve birbirine uygun irade beyanlarıyla kurulur. TBK m. 503’e göre, "Kendisine bir işin görülmesi önerilen kişi, bu işi görme konusunda resmî sıfata sahipse veya işin yapılması mesleğinin gereği ise ya da bu gibi işleri kabul edeceğini duyurmuşsa, bu öneri onun tarafından hemen reddedilmedikçe, vekâlet sözleşmesi kurulmuş sayılır".</w:t>
      </w:r>
    </w:p>
    <w:p w14:paraId="36C20A4E"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sözleşmesinin geçerliliği, kural olarak herhangi bir özel şekil şartına bağlı değildir.</w:t>
      </w:r>
      <w:r>
        <w:rPr>
          <w:rFonts w:ascii="Times New Roman" w:hAnsi="Times New Roman" w:cs="Times New Roman"/>
          <w:sz w:val="24"/>
          <w:szCs w:val="24"/>
        </w:rPr>
        <w:t xml:space="preserve"> </w:t>
      </w:r>
      <w:r w:rsidRPr="00472705">
        <w:rPr>
          <w:rFonts w:ascii="Times New Roman" w:hAnsi="Times New Roman" w:cs="Times New Roman"/>
          <w:sz w:val="24"/>
          <w:szCs w:val="24"/>
        </w:rPr>
        <w:t>Vekâletin kapsamının sözleşmeyle açık</w:t>
      </w:r>
      <w:r w:rsidRPr="00472705">
        <w:rPr>
          <w:rFonts w:ascii="Times New Roman" w:hAnsi="Times New Roman" w:cs="Times New Roman"/>
          <w:sz w:val="24"/>
          <w:szCs w:val="24"/>
        </w:rPr>
        <w:softHyphen/>
        <w:t xml:space="preserve">ça tespit edilmemesi halinde, bu kapsam görülecek işin niteliğine göre belirlenir. </w:t>
      </w:r>
    </w:p>
    <w:p w14:paraId="4D1217B8"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Vekil, hukukî işlemleri, doğrudan doğruya temsilci sıfatıyla vekalet veren adına veya dolaylı temsilci olarak kendi adına yapabilir.</w:t>
      </w:r>
      <w:r>
        <w:rPr>
          <w:rFonts w:ascii="Times New Roman" w:hAnsi="Times New Roman" w:cs="Times New Roman"/>
          <w:sz w:val="24"/>
          <w:szCs w:val="24"/>
        </w:rPr>
        <w:t xml:space="preserve"> </w:t>
      </w:r>
      <w:r w:rsidRPr="00472705">
        <w:rPr>
          <w:rFonts w:ascii="Times New Roman" w:hAnsi="Times New Roman" w:cs="Times New Roman"/>
          <w:sz w:val="24"/>
          <w:szCs w:val="24"/>
        </w:rPr>
        <w:t>Vekile verilen temsil yetkisi sadece belirli bir veya birkaç işlemle sınırlı olabileceği gibi (özel temsil yetkisi), vekilin vekalet verenin her türlü işlerini yapabilmesine izin verecek şekilde (genel temsil yetkisi) de olabilir.</w:t>
      </w:r>
    </w:p>
    <w:p w14:paraId="4A24CF53" w14:textId="77777777" w:rsidR="005C3041" w:rsidRPr="00472705" w:rsidRDefault="005C3041" w:rsidP="005C3041">
      <w:pPr>
        <w:pStyle w:val="Balk1"/>
      </w:pPr>
      <w:r w:rsidRPr="00472705">
        <w:t>VEKİLİN BORÇLARI</w:t>
      </w:r>
    </w:p>
    <w:p w14:paraId="0132890F"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Sadakat ve özen borcu:</w:t>
      </w:r>
      <w:r w:rsidRPr="00472705">
        <w:rPr>
          <w:rFonts w:ascii="Times New Roman" w:hAnsi="Times New Roman" w:cs="Times New Roman"/>
          <w:sz w:val="24"/>
          <w:szCs w:val="24"/>
        </w:rPr>
        <w:t xml:space="preserve"> Sadakat borcu vekilin her durumda vekalet verenin menfaatine uygun hareket etmesini gerektirir. Vekilin sadakat yükümü sadece işin görülmesiyle sınırlı olmayıp, vekâlet sözleşmesinin sona ermesinden sonra da devam eder.</w:t>
      </w:r>
    </w:p>
    <w:p w14:paraId="0AC0B921"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sözleşmesinde vekilin özen borcunun konusu, edim sonucunun başarılı bir şekilde gerçekleşmesi için ha</w:t>
      </w:r>
      <w:r w:rsidRPr="00472705">
        <w:rPr>
          <w:rFonts w:ascii="Times New Roman" w:hAnsi="Times New Roman" w:cs="Times New Roman"/>
          <w:sz w:val="24"/>
          <w:szCs w:val="24"/>
        </w:rPr>
        <w:softHyphen/>
        <w:t>yat tecrübelerine ve işlerin normal akışına göre gerekli davranışlarda bulunmak ve bunu engelleyecek davranışlardan kaçınmaktır.</w:t>
      </w:r>
    </w:p>
    <w:p w14:paraId="1E8ACEB4"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İşi şahsen ifa borcu: </w:t>
      </w:r>
      <w:r w:rsidRPr="00472705">
        <w:rPr>
          <w:rFonts w:ascii="Times New Roman" w:hAnsi="Times New Roman" w:cs="Times New Roman"/>
          <w:sz w:val="24"/>
          <w:szCs w:val="24"/>
        </w:rPr>
        <w:t>Vekil, kural olarak sözleşme konusu işi şahsen (kendisi) ifa etmek zorundadır. Vekalet verenin vekilin başkasını vekil tayin etmesine açıkça veya zımnen rıza göstermesi, vekilin başkasını vekil tayin etmesine teamül gereği yetkili olması, vekilin başkasını vekil tayin etmesine halin gereklerine göre mecbur olması hallerinde vekilin üstlendiği iş görme edimini başkasına yaptırma imkânı vardır. BU durum alt vekalet ya da ikame vekalet adını alır. Yetkili olmadığı halde işi başkasını gördüren eden vekil, onun fiilinden kendi yapmış gibi sorumlu olur.</w:t>
      </w:r>
    </w:p>
    <w:p w14:paraId="4E2898B5"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TBK m. 505/I’e göre, " Vekil, vekâlet verenin açık talimatına uymakla yükümlüdür. Ancak, vekâlet verenden izin alma imkânı bulunmadığında, durumu bilseydi onun da izin vereceği açık olan hâllerde, vekil talimattan ayrılabilir.</w:t>
      </w:r>
    </w:p>
    <w:p w14:paraId="06773AA0"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lastRenderedPageBreak/>
        <w:t xml:space="preserve">Vekalet verenin talimatına uygun olarak hareket yükümü: </w:t>
      </w:r>
      <w:r w:rsidRPr="00472705">
        <w:rPr>
          <w:rFonts w:ascii="Times New Roman" w:hAnsi="Times New Roman" w:cs="Times New Roman"/>
          <w:sz w:val="24"/>
          <w:szCs w:val="24"/>
        </w:rPr>
        <w:t>Vekilin vekalet verenin talimatına caiz olmayan bir biçimde uymaması halinde, vekalet veren talimata uygun ifada ısrar edebilir ve talimata uygun olmayan edimi kabul etmeyebilir. Edimin ifası imkânsız olduğu takdirde, tazminat talep edebilir. Doğrudan doğruya temsil yoluyla yerine getirilen vekâlette, vekilin vekalet verenin talimatlarına aykırı olarak, kötü niyetli üçüncü kişiyle yaptığı sözleşme vekalet vereni bağlamaz; üçüncü kişi iyi niyetli ise yapılan sözleşme geçerli olur. Bu son ihtimalde, vekil vekalet verenin zararını üst</w:t>
      </w:r>
      <w:r w:rsidRPr="00472705">
        <w:rPr>
          <w:rFonts w:ascii="Times New Roman" w:hAnsi="Times New Roman" w:cs="Times New Roman"/>
          <w:sz w:val="24"/>
          <w:szCs w:val="24"/>
        </w:rPr>
        <w:softHyphen/>
        <w:t>lenmedikçe (TBK m. 505/II) vekâlet sözleşmesi gereği gibi ifa edilmiş sayılmaz. Buna karşılık, dolaylı temsili gerektiren vekâlette, talimata aykırılık sadece vekilin TBK m. 505/II ve TBK m. 527/III gereğince sorumlu tutulmasına yol açabilir.</w:t>
      </w:r>
    </w:p>
    <w:p w14:paraId="2710C645"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Hesap verme borcu: </w:t>
      </w:r>
      <w:r w:rsidRPr="00472705">
        <w:rPr>
          <w:rFonts w:ascii="Times New Roman" w:hAnsi="Times New Roman" w:cs="Times New Roman"/>
          <w:sz w:val="24"/>
          <w:szCs w:val="24"/>
        </w:rPr>
        <w:t>Vekil, vekalet verenin talebi üzerine, yapmış olduğu işin hesabını vermeğe mecburdur.</w:t>
      </w:r>
    </w:p>
    <w:p w14:paraId="49931D1B" w14:textId="77777777" w:rsidR="005C3041" w:rsidRPr="00472705" w:rsidRDefault="005C3041" w:rsidP="005C3041">
      <w:pPr>
        <w:spacing w:before="100" w:beforeAutospacing="1" w:after="100" w:afterAutospacing="1" w:line="360" w:lineRule="auto"/>
        <w:jc w:val="both"/>
        <w:rPr>
          <w:rFonts w:ascii="Times New Roman" w:hAnsi="Times New Roman" w:cs="Times New Roman"/>
          <w:spacing w:val="-2"/>
          <w:sz w:val="24"/>
          <w:szCs w:val="24"/>
        </w:rPr>
      </w:pPr>
      <w:r w:rsidRPr="00472705">
        <w:rPr>
          <w:rFonts w:ascii="Times New Roman" w:hAnsi="Times New Roman" w:cs="Times New Roman"/>
          <w:b/>
          <w:sz w:val="24"/>
          <w:szCs w:val="24"/>
        </w:rPr>
        <w:t xml:space="preserve">İade borcu: </w:t>
      </w:r>
      <w:r w:rsidRPr="00472705">
        <w:rPr>
          <w:rFonts w:ascii="Times New Roman" w:hAnsi="Times New Roman" w:cs="Times New Roman"/>
          <w:sz w:val="24"/>
          <w:szCs w:val="24"/>
        </w:rPr>
        <w:t xml:space="preserve">Vekil, vekâlet sözleşmesinin ifası dolayısıyla almış olduğu şeyleri vekalet verene iadeyle yükümlüdür. İade edilecek şeyler, bizzat vekalet verenden alınmış olabileceği gibi (meselâ avanslar), üçüncü kişilerden de alınmış olabilir. </w:t>
      </w:r>
      <w:r w:rsidRPr="00472705">
        <w:rPr>
          <w:rFonts w:ascii="Times New Roman" w:hAnsi="Times New Roman" w:cs="Times New Roman"/>
          <w:spacing w:val="-2"/>
          <w:sz w:val="24"/>
          <w:szCs w:val="24"/>
        </w:rPr>
        <w:t xml:space="preserve">Vekil, dolaylı temsil ilişkisi çerçevesinde, kazanmış olduğu hak ve şeyleri bilahare vekalet verene devretmek zorundadır. </w:t>
      </w:r>
    </w:p>
    <w:p w14:paraId="2BD07F0F"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Vekilin iflası halinde, vekâlet sözleşmesinin ifası sebebiyle üçüncü kişilerden iktisap edilmiş olan alacaklar ve taşınır mallar söz konusuysa alacaklarda, vekalet veren lehine kanunî temlik gerçekleşir, yani vekalet veren temlik sözleşmesi yapılmasına gerek olmadan alacağa kendiliğinden sahip olur. Taşınırlarda, vekalet veren, mülkiyet hakkını değil, mülkiyetin kendisi</w:t>
      </w:r>
      <w:r w:rsidRPr="00472705">
        <w:rPr>
          <w:rFonts w:ascii="Times New Roman" w:hAnsi="Times New Roman" w:cs="Times New Roman"/>
          <w:sz w:val="24"/>
          <w:szCs w:val="24"/>
        </w:rPr>
        <w:softHyphen/>
        <w:t>ne geçirilmesine ilişkin bir hak kazanır; açılacak dava sonunda ve</w:t>
      </w:r>
      <w:r w:rsidRPr="00472705">
        <w:rPr>
          <w:rFonts w:ascii="Times New Roman" w:hAnsi="Times New Roman" w:cs="Times New Roman"/>
          <w:sz w:val="24"/>
          <w:szCs w:val="24"/>
        </w:rPr>
        <w:softHyphen/>
        <w:t>rilecek hüküm bir edimin ifasına mahkumiyet şeklinde olacaktır.</w:t>
      </w:r>
    </w:p>
    <w:p w14:paraId="78A72BA7" w14:textId="77777777"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MÜVEKKİLİN BORÇLARI</w:t>
      </w:r>
    </w:p>
    <w:p w14:paraId="40429144"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Ücret ödeme borcu: </w:t>
      </w:r>
      <w:r w:rsidRPr="00472705">
        <w:rPr>
          <w:rFonts w:ascii="Times New Roman" w:hAnsi="Times New Roman" w:cs="Times New Roman"/>
          <w:sz w:val="24"/>
          <w:szCs w:val="24"/>
        </w:rPr>
        <w:t>Sözleşme veya teamül varsa vekil ücrete hak kazanır”. Vekilin ücret alacağı, aksine sözleşme ve teamül olmadıkça, vekâlet konusu işin tamamlanması ile muaccel olur.</w:t>
      </w:r>
    </w:p>
    <w:p w14:paraId="54CBB13F"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Vekil tarafından yapılan masrafları ve verilen avansları ödeme borcu: </w:t>
      </w:r>
      <w:r w:rsidRPr="00472705">
        <w:rPr>
          <w:rFonts w:ascii="Times New Roman" w:hAnsi="Times New Roman" w:cs="Times New Roman"/>
          <w:sz w:val="24"/>
          <w:szCs w:val="24"/>
        </w:rPr>
        <w:t>Vekalet veren, vekilin işin usulüne uygun olarak görülmesi için yaptığı masrafı ve verdiği avansları faiziyle beraber ödemek zorundadır (TBK m. 510/I).</w:t>
      </w:r>
    </w:p>
    <w:p w14:paraId="255BAC09"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lastRenderedPageBreak/>
        <w:t xml:space="preserve">Vekili vekalet veren hesabına girdiği borçtan kurtarma yükümü: </w:t>
      </w:r>
      <w:r w:rsidRPr="00472705">
        <w:rPr>
          <w:rFonts w:ascii="Times New Roman" w:hAnsi="Times New Roman" w:cs="Times New Roman"/>
          <w:sz w:val="24"/>
          <w:szCs w:val="24"/>
        </w:rPr>
        <w:t>Vekalet veren, vekili, onun vekâletin usulü dairesinde ifası için ken</w:t>
      </w:r>
      <w:r w:rsidRPr="00472705">
        <w:rPr>
          <w:rFonts w:ascii="Times New Roman" w:hAnsi="Times New Roman" w:cs="Times New Roman"/>
          <w:sz w:val="24"/>
          <w:szCs w:val="24"/>
        </w:rPr>
        <w:softHyphen/>
        <w:t>di adına girdiği borçlardan kurtarmakla yükümlüdür (TBK m. 510/I).</w:t>
      </w:r>
    </w:p>
    <w:p w14:paraId="48E38932"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Vekilin uğradığı zararı tazmin borcu: </w:t>
      </w:r>
      <w:r w:rsidRPr="00472705">
        <w:rPr>
          <w:rFonts w:ascii="Times New Roman" w:hAnsi="Times New Roman" w:cs="Times New Roman"/>
          <w:sz w:val="24"/>
          <w:szCs w:val="24"/>
        </w:rPr>
        <w:t>TBK m. 510/II’ye göre, “Vekil, vekâletin ifası sebebiyle uğradığı zararın giderilmesini vekâlet verenden isteyebilir. Ancak vekâlet veren, kusuru bulunmadığını ispat ederek bu sorumluluktan kurtulabilir”.</w:t>
      </w:r>
    </w:p>
    <w:p w14:paraId="5C131848" w14:textId="77777777"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SÖZLEŞMESİNİN SONA ERMESİ</w:t>
      </w:r>
    </w:p>
    <w:p w14:paraId="6397692E" w14:textId="77777777"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Tek taraflı sona erdirme (Azil ve istifa)</w:t>
      </w:r>
    </w:p>
    <w:p w14:paraId="42AB008C"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TBK m. 512/c. 1’e göre, “Vekâlet veren ve vekil, her zaman sözleşmeyi tek taraflı olarak sona erdirebilir”. Bu tek taraflı irade beyanı bozucu yenilik doğuran bir hakkın kullanılması niteliğinde olup, bunun için tarafların haklı bir sebep göstermeleri gerekli değildir. </w:t>
      </w:r>
    </w:p>
    <w:p w14:paraId="3540D7D9"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Haklı bir sebep olmaksızın diğer tarafa zarar verecek şekilde sözleşmenin tek taraflı bir irade beyanıyla sona erdirilmesi halinde, TBK m. 512/c. 2 anlamında uygun olmayan bir zamanda azil ve istifa hali ger</w:t>
      </w:r>
      <w:r w:rsidRPr="00472705">
        <w:rPr>
          <w:rFonts w:ascii="Times New Roman" w:hAnsi="Times New Roman" w:cs="Times New Roman"/>
          <w:sz w:val="24"/>
          <w:szCs w:val="24"/>
        </w:rPr>
        <w:softHyphen/>
        <w:t xml:space="preserve">çekleşmiş olur; buna karşılık, karşı tarafın azil veya istifaya sebep olması halinde, sözleşmeyi zamansız sona erdirme söz konusu olmaz. </w:t>
      </w:r>
    </w:p>
    <w:p w14:paraId="13A56345" w14:textId="77777777"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sözleşmesinin taraflardan birinin ölümü, ehliyetsizliği veya iflâsı sebebiyle sona ermesi</w:t>
      </w:r>
    </w:p>
    <w:p w14:paraId="4ADE13D3" w14:textId="77777777"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Aksi sözleşmeden veya işin mahiyetinden anlaşılmadıkça, vekâlet, gerek vekilin gerek vekalet verenin ölümü, ehliyetinin kaybı veya iflâsı ile sona erer (TBK m. 513/I). Ancak, vekâletin sona ermesi vekalet verenin menfaatini tehlikeye düşürüyorsa, vekalet veren veya mirasçısı veya mümessili bizzat işlerini görebilecek hale gelinceye ka</w:t>
      </w:r>
      <w:r w:rsidRPr="00472705">
        <w:rPr>
          <w:rFonts w:ascii="Times New Roman" w:hAnsi="Times New Roman" w:cs="Times New Roman"/>
          <w:sz w:val="24"/>
          <w:szCs w:val="24"/>
        </w:rPr>
        <w:softHyphen/>
        <w:t>dar, vekil veya mirasçısı veya mümessili vekâleti ifaya devamla yü</w:t>
      </w:r>
      <w:r w:rsidRPr="00472705">
        <w:rPr>
          <w:rFonts w:ascii="Times New Roman" w:hAnsi="Times New Roman" w:cs="Times New Roman"/>
          <w:sz w:val="24"/>
          <w:szCs w:val="24"/>
        </w:rPr>
        <w:softHyphen/>
        <w:t>kümlüdür (TBK m. 513/II).</w:t>
      </w:r>
    </w:p>
    <w:p w14:paraId="44AB639D" w14:textId="77777777" w:rsidR="005C3041" w:rsidRDefault="005C3041" w:rsidP="005C3041"/>
    <w:p w14:paraId="7E194F54" w14:textId="77777777" w:rsidR="00382642" w:rsidRPr="000C54FD" w:rsidRDefault="00382642" w:rsidP="0038264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2C054CCB" w14:textId="77777777" w:rsidR="00382642" w:rsidRPr="0049314B" w:rsidRDefault="00382642" w:rsidP="005C3041">
      <w:bookmarkStart w:id="0" w:name="_GoBack"/>
      <w:bookmarkEnd w:id="0"/>
    </w:p>
    <w:p w14:paraId="625FC436" w14:textId="77777777" w:rsidR="00173F6D" w:rsidRPr="005C3041" w:rsidRDefault="00173F6D" w:rsidP="005C3041"/>
    <w:sectPr w:rsidR="00173F6D" w:rsidRPr="005C30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05989" w14:textId="77777777" w:rsidR="00720F5B" w:rsidRDefault="00720F5B" w:rsidP="004A09E2">
      <w:pPr>
        <w:spacing w:after="0" w:line="240" w:lineRule="auto"/>
      </w:pPr>
      <w:r>
        <w:separator/>
      </w:r>
    </w:p>
  </w:endnote>
  <w:endnote w:type="continuationSeparator" w:id="0">
    <w:p w14:paraId="326F800D" w14:textId="77777777" w:rsidR="00720F5B" w:rsidRDefault="00720F5B"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B4CC7" w14:textId="77777777" w:rsidR="00720F5B" w:rsidRDefault="00720F5B" w:rsidP="004A09E2">
      <w:pPr>
        <w:spacing w:after="0" w:line="240" w:lineRule="auto"/>
      </w:pPr>
      <w:r>
        <w:separator/>
      </w:r>
    </w:p>
  </w:footnote>
  <w:footnote w:type="continuationSeparator" w:id="0">
    <w:p w14:paraId="3C2FCEA9" w14:textId="77777777" w:rsidR="00720F5B" w:rsidRDefault="00720F5B"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382642"/>
    <w:rsid w:val="00435680"/>
    <w:rsid w:val="00472705"/>
    <w:rsid w:val="004A09E2"/>
    <w:rsid w:val="005114C8"/>
    <w:rsid w:val="005C3041"/>
    <w:rsid w:val="005D7F58"/>
    <w:rsid w:val="00687282"/>
    <w:rsid w:val="00720F5B"/>
    <w:rsid w:val="00797AE5"/>
    <w:rsid w:val="00862B70"/>
    <w:rsid w:val="0087534C"/>
    <w:rsid w:val="00890FC5"/>
    <w:rsid w:val="008F56D0"/>
    <w:rsid w:val="00A04707"/>
    <w:rsid w:val="00AB2D0F"/>
    <w:rsid w:val="00AD6468"/>
    <w:rsid w:val="00B71A14"/>
    <w:rsid w:val="00BC541F"/>
    <w:rsid w:val="00BE400D"/>
    <w:rsid w:val="00DB0105"/>
    <w:rsid w:val="00E0210D"/>
    <w:rsid w:val="00E22091"/>
    <w:rsid w:val="00E24442"/>
    <w:rsid w:val="00E34E31"/>
    <w:rsid w:val="00E35B96"/>
    <w:rsid w:val="00E537F4"/>
    <w:rsid w:val="00E746A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9976"/>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3041"/>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7263</Characters>
  <Application>Microsoft Macintosh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2018-01-04T10:10:00Z</dcterms:created>
  <dcterms:modified xsi:type="dcterms:W3CDTF">2018-10-23T14:25:00Z</dcterms:modified>
</cp:coreProperties>
</file>