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92576" w14:textId="77777777" w:rsidR="001B6F98" w:rsidRPr="00AA6EB7" w:rsidRDefault="007B1FE7" w:rsidP="00AA6EB7">
      <w:pPr>
        <w:pStyle w:val="Balk3"/>
        <w:spacing w:before="100" w:beforeAutospacing="1" w:after="100" w:afterAutospacing="1" w:line="360" w:lineRule="auto"/>
        <w:rPr>
          <w:rFonts w:ascii="Times New Roman" w:hAnsi="Times New Roman"/>
        </w:rPr>
      </w:pPr>
      <w:r w:rsidRPr="00AA6EB7">
        <w:rPr>
          <w:rFonts w:ascii="Times New Roman" w:hAnsi="Times New Roman"/>
        </w:rPr>
        <w:t>TÜRK</w:t>
      </w:r>
      <w:r w:rsidR="001B6F98" w:rsidRPr="00AA6EB7">
        <w:rPr>
          <w:rFonts w:ascii="Times New Roman" w:hAnsi="Times New Roman"/>
        </w:rPr>
        <w:t xml:space="preserve"> BORÇLAR HUKUKUNUN DAYANDIĞI İLKELER</w:t>
      </w:r>
    </w:p>
    <w:p w14:paraId="060EF97C" w14:textId="77777777" w:rsidR="00F15CAB" w:rsidRPr="00AA6EB7" w:rsidRDefault="004001D4" w:rsidP="00AA6EB7">
      <w:pPr>
        <w:pStyle w:val="GvdeMetni2"/>
        <w:ind w:firstLine="708"/>
        <w:jc w:val="both"/>
        <w:rPr>
          <w:rFonts w:ascii="Times New Roman" w:hAnsi="Times New Roman"/>
        </w:rPr>
      </w:pPr>
      <w:r w:rsidRPr="00AA6EB7">
        <w:rPr>
          <w:rFonts w:ascii="Times New Roman" w:hAnsi="Times New Roman"/>
        </w:rPr>
        <w:t xml:space="preserve">Türk Borçlar Kanunu liberal anlayışı yansıtan ve bu anlamda irade özerkliğine dayanan bir kanundur. Genel hükümleri itibariyle soyutlamalar içeren, tümü itibariyle 19. yy ’da satış sözleşmesinden yapılan soyutlamalarla bu süreç başlamaktadır. Özel hükümler itibariyle açık ve basittir. Kanunun Kaynağını Alman ve İsviçre Hukukları oluşturmaktadır. </w:t>
      </w:r>
    </w:p>
    <w:p w14:paraId="0785C6D1" w14:textId="77777777" w:rsidR="007B1FE7" w:rsidRPr="00AA6EB7" w:rsidRDefault="004001D4" w:rsidP="00AA6EB7">
      <w:pPr>
        <w:pStyle w:val="GvdeMetni2"/>
        <w:ind w:firstLine="708"/>
        <w:jc w:val="both"/>
        <w:rPr>
          <w:rFonts w:ascii="Times New Roman" w:hAnsi="Times New Roman"/>
        </w:rPr>
      </w:pPr>
      <w:r w:rsidRPr="00AA6EB7">
        <w:rPr>
          <w:rFonts w:ascii="Times New Roman" w:hAnsi="Times New Roman"/>
        </w:rPr>
        <w:t>Kanun irade özerkliğine dayandığı için emredici hükümler azınlıktadır. Esasen yedek hukuk kurallarıyla düzenlenmektedir.</w:t>
      </w:r>
      <w:r w:rsidR="007B1FE7" w:rsidRPr="00AA6EB7">
        <w:rPr>
          <w:rFonts w:ascii="Times New Roman" w:hAnsi="Times New Roman"/>
        </w:rPr>
        <w:t xml:space="preserve"> Fakat son dönemlerde kartelleşme, iradelerin gerçek anlamda oluşmaması gibi sebeplerle zayıfı koruma düşüncesiyle emredici hükümler oluşturulmaya başlanmıştır. Bu kendisini en çok tüketici hukuku, iş hukuku gibi alanlarda göstermektedir. Emredici kurallara;</w:t>
      </w:r>
    </w:p>
    <w:p w14:paraId="3228FF51" w14:textId="77777777" w:rsidR="007B1FE7" w:rsidRPr="00AA6EB7" w:rsidRDefault="007B1FE7" w:rsidP="00AA6EB7">
      <w:pPr>
        <w:pStyle w:val="GvdeMetni2"/>
        <w:ind w:firstLine="708"/>
        <w:jc w:val="both"/>
        <w:rPr>
          <w:rFonts w:ascii="Times New Roman" w:hAnsi="Times New Roman"/>
        </w:rPr>
      </w:pPr>
      <w:r w:rsidRPr="00AA6EB7">
        <w:rPr>
          <w:rFonts w:ascii="Times New Roman" w:hAnsi="Times New Roman"/>
        </w:rPr>
        <w:t>- Kamu düzeni</w:t>
      </w:r>
    </w:p>
    <w:p w14:paraId="69D79386" w14:textId="77777777" w:rsidR="007B1FE7" w:rsidRPr="00AA6EB7" w:rsidRDefault="007B1FE7" w:rsidP="00AA6EB7">
      <w:pPr>
        <w:pStyle w:val="GvdeMetni2"/>
        <w:ind w:firstLine="708"/>
        <w:jc w:val="both"/>
        <w:rPr>
          <w:rFonts w:ascii="Times New Roman" w:hAnsi="Times New Roman"/>
        </w:rPr>
      </w:pPr>
      <w:r w:rsidRPr="00AA6EB7">
        <w:rPr>
          <w:rFonts w:ascii="Times New Roman" w:hAnsi="Times New Roman"/>
        </w:rPr>
        <w:t>- Zayıfların korunması</w:t>
      </w:r>
    </w:p>
    <w:p w14:paraId="0E43785D" w14:textId="77777777" w:rsidR="007B1FE7" w:rsidRPr="00AA6EB7" w:rsidRDefault="007B1FE7" w:rsidP="00AA6EB7">
      <w:pPr>
        <w:pStyle w:val="GvdeMetni2"/>
        <w:ind w:firstLine="708"/>
        <w:jc w:val="both"/>
        <w:rPr>
          <w:rFonts w:ascii="Times New Roman" w:hAnsi="Times New Roman"/>
        </w:rPr>
      </w:pPr>
      <w:r w:rsidRPr="00AA6EB7">
        <w:rPr>
          <w:rFonts w:ascii="Times New Roman" w:hAnsi="Times New Roman"/>
        </w:rPr>
        <w:t xml:space="preserve">- Genel ahlak gibi sebeplerle başvurulmaktadır. </w:t>
      </w:r>
    </w:p>
    <w:p w14:paraId="7B1EAF3B" w14:textId="4A05BAD8" w:rsidR="003F2D1D" w:rsidRPr="00AA6EB7" w:rsidRDefault="003F2D1D" w:rsidP="00AA6EB7">
      <w:pPr>
        <w:pStyle w:val="GvdeMetni2"/>
        <w:jc w:val="both"/>
        <w:rPr>
          <w:rFonts w:ascii="Times New Roman" w:hAnsi="Times New Roman"/>
        </w:rPr>
      </w:pPr>
      <w:r w:rsidRPr="00AA6EB7">
        <w:rPr>
          <w:rFonts w:ascii="Times New Roman" w:hAnsi="Times New Roman"/>
        </w:rPr>
        <w:t>Sözleşme hürriyetinin çeşitli boyutları vardır. Bunlar Doktrinde ve Yargı kararlarında kabul edildikleri şekliyle şunlardır:</w:t>
      </w:r>
    </w:p>
    <w:p w14:paraId="147C5334" w14:textId="7579502D" w:rsidR="003F2D1D" w:rsidRPr="00AA6EB7" w:rsidRDefault="003F2D1D" w:rsidP="00AA6EB7">
      <w:pPr>
        <w:pStyle w:val="GvdeMetni2"/>
        <w:numPr>
          <w:ilvl w:val="0"/>
          <w:numId w:val="1"/>
        </w:numPr>
        <w:jc w:val="both"/>
        <w:rPr>
          <w:rFonts w:ascii="Times New Roman" w:hAnsi="Times New Roman"/>
        </w:rPr>
      </w:pPr>
      <w:r w:rsidRPr="00AA6EB7">
        <w:rPr>
          <w:rFonts w:ascii="Times New Roman" w:hAnsi="Times New Roman"/>
        </w:rPr>
        <w:t>Sözleşme yapıp yapmama özgürlüğü</w:t>
      </w:r>
    </w:p>
    <w:p w14:paraId="58DDCAE8" w14:textId="57265B64" w:rsidR="003F2D1D" w:rsidRPr="00AA6EB7" w:rsidRDefault="003F2D1D" w:rsidP="00AA6EB7">
      <w:pPr>
        <w:pStyle w:val="GvdeMetni2"/>
        <w:numPr>
          <w:ilvl w:val="0"/>
          <w:numId w:val="1"/>
        </w:numPr>
        <w:jc w:val="both"/>
        <w:rPr>
          <w:rFonts w:ascii="Times New Roman" w:hAnsi="Times New Roman"/>
        </w:rPr>
      </w:pPr>
      <w:r w:rsidRPr="00AA6EB7">
        <w:rPr>
          <w:rFonts w:ascii="Times New Roman" w:hAnsi="Times New Roman"/>
        </w:rPr>
        <w:t>Sözleşmenin tarafını seçme özgürlüğü</w:t>
      </w:r>
    </w:p>
    <w:p w14:paraId="7832FD25" w14:textId="11F58CF6" w:rsidR="003F2D1D" w:rsidRPr="00AA6EB7" w:rsidRDefault="003F2D1D" w:rsidP="00AA6EB7">
      <w:pPr>
        <w:pStyle w:val="GvdeMetni2"/>
        <w:numPr>
          <w:ilvl w:val="0"/>
          <w:numId w:val="1"/>
        </w:numPr>
        <w:jc w:val="both"/>
        <w:rPr>
          <w:rFonts w:ascii="Times New Roman" w:hAnsi="Times New Roman"/>
        </w:rPr>
      </w:pPr>
      <w:r w:rsidRPr="00AA6EB7">
        <w:rPr>
          <w:rFonts w:ascii="Times New Roman" w:hAnsi="Times New Roman"/>
        </w:rPr>
        <w:t>Şekil özgürlüğü</w:t>
      </w:r>
    </w:p>
    <w:p w14:paraId="6BAAC933" w14:textId="2BC5E66C" w:rsidR="003F2D1D" w:rsidRPr="00AA6EB7" w:rsidRDefault="003F2D1D" w:rsidP="00AA6EB7">
      <w:pPr>
        <w:pStyle w:val="GvdeMetni2"/>
        <w:numPr>
          <w:ilvl w:val="0"/>
          <w:numId w:val="1"/>
        </w:numPr>
        <w:jc w:val="both"/>
        <w:rPr>
          <w:rFonts w:ascii="Times New Roman" w:hAnsi="Times New Roman"/>
        </w:rPr>
      </w:pPr>
      <w:r w:rsidRPr="00AA6EB7">
        <w:rPr>
          <w:rFonts w:ascii="Times New Roman" w:hAnsi="Times New Roman"/>
        </w:rPr>
        <w:t>Sözleşmeyi değiştirme ya da ortadan kaldırma hürriyeti</w:t>
      </w:r>
    </w:p>
    <w:p w14:paraId="50175FE0" w14:textId="3560B3A7" w:rsidR="003F2D1D" w:rsidRPr="00AA6EB7" w:rsidRDefault="003F2D1D" w:rsidP="00AA6EB7">
      <w:pPr>
        <w:pStyle w:val="GvdeMetni2"/>
        <w:numPr>
          <w:ilvl w:val="0"/>
          <w:numId w:val="1"/>
        </w:numPr>
        <w:jc w:val="both"/>
        <w:rPr>
          <w:rFonts w:ascii="Times New Roman" w:hAnsi="Times New Roman"/>
        </w:rPr>
      </w:pPr>
      <w:r w:rsidRPr="00AA6EB7">
        <w:rPr>
          <w:rFonts w:ascii="Times New Roman" w:hAnsi="Times New Roman"/>
        </w:rPr>
        <w:t>Akdin tipini belirleme özgürlüğü</w:t>
      </w:r>
    </w:p>
    <w:p w14:paraId="71D170E9" w14:textId="06521C7D" w:rsidR="003F2D1D" w:rsidRPr="00AA6EB7" w:rsidRDefault="003F2D1D" w:rsidP="00AA6EB7">
      <w:pPr>
        <w:pStyle w:val="GvdeMetni2"/>
        <w:jc w:val="both"/>
        <w:rPr>
          <w:rFonts w:ascii="Times New Roman" w:hAnsi="Times New Roman"/>
        </w:rPr>
      </w:pPr>
      <w:r w:rsidRPr="00AA6EB7">
        <w:rPr>
          <w:rFonts w:ascii="Times New Roman" w:hAnsi="Times New Roman"/>
        </w:rPr>
        <w:t xml:space="preserve">Kanunda sayılmış olan çeşitli sözleşme türlerine tip sözleşmeler denilir. Bu sözleşmelerin esaslı unsurları kanun tarafından saptanmıştır. Buna karşın, sözleşme hürriyeti çerçevesinde tarafların yapacaklar sözleşmeler kanuni tipe tamamıyla uymayabilir. Bu gibi durumlarda isimsiz sözleşmelerden söz edilir. </w:t>
      </w:r>
    </w:p>
    <w:p w14:paraId="62A1C455" w14:textId="77777777" w:rsidR="00FD2A0E" w:rsidRPr="00AA6EB7" w:rsidRDefault="003F2D1D" w:rsidP="00AA6EB7">
      <w:pPr>
        <w:spacing w:after="56" w:line="360" w:lineRule="auto"/>
        <w:ind w:firstLine="340"/>
        <w:jc w:val="both"/>
        <w:rPr>
          <w:rFonts w:ascii="Times New Roman" w:hAnsi="Times New Roman"/>
          <w:sz w:val="24"/>
          <w:szCs w:val="24"/>
        </w:rPr>
      </w:pPr>
      <w:r w:rsidRPr="00AA6EB7">
        <w:rPr>
          <w:rFonts w:ascii="Times New Roman" w:hAnsi="Times New Roman"/>
          <w:sz w:val="24"/>
          <w:szCs w:val="24"/>
        </w:rPr>
        <w:t>Sözleşme hürriyeti Anayasal ve Kanuni dayanağa sahip olan bir hürriyettir. Anayasa m. 48’de sözleşme özgürlüğü şu şekilde düzenleniştir: “</w:t>
      </w:r>
      <w:r w:rsidR="00FD2A0E" w:rsidRPr="00AA6EB7">
        <w:rPr>
          <w:rFonts w:ascii="Times New Roman" w:hAnsi="Times New Roman"/>
          <w:sz w:val="24"/>
          <w:szCs w:val="24"/>
        </w:rPr>
        <w:t>Herkes, dilediği alanda çalışma ve sözleşme hürriyetlerine sahiptir. Özel teşebbüsler kurmak serbesttir.</w:t>
      </w:r>
      <w:r w:rsidR="00FD2A0E" w:rsidRPr="00AA6EB7">
        <w:rPr>
          <w:rFonts w:ascii="Times New Roman" w:hAnsi="Times New Roman"/>
          <w:sz w:val="24"/>
          <w:szCs w:val="24"/>
        </w:rPr>
        <w:t>” Görüldüğü gibi sözleşme hürriyetinin özü olan irade serbestisi Anayasa tarafından güvence altına alınmıştır.</w:t>
      </w:r>
    </w:p>
    <w:p w14:paraId="5CD02B19" w14:textId="77777777" w:rsidR="00FD2A0E" w:rsidRPr="00AA6EB7" w:rsidRDefault="00FD2A0E" w:rsidP="00AA6EB7">
      <w:pPr>
        <w:spacing w:after="56" w:line="360" w:lineRule="auto"/>
        <w:ind w:firstLine="340"/>
        <w:jc w:val="both"/>
        <w:rPr>
          <w:rFonts w:ascii="Times New Roman" w:hAnsi="Times New Roman"/>
          <w:sz w:val="24"/>
          <w:szCs w:val="24"/>
        </w:rPr>
      </w:pPr>
    </w:p>
    <w:p w14:paraId="47B29BFF" w14:textId="2C1D8042" w:rsidR="0049217C" w:rsidRPr="00AA6EB7" w:rsidRDefault="0049217C" w:rsidP="00AA6EB7">
      <w:pPr>
        <w:spacing w:line="360" w:lineRule="auto"/>
        <w:rPr>
          <w:rFonts w:ascii="Times New Roman" w:eastAsia="Times New Roman" w:hAnsi="Times New Roman" w:cs="Times New Roman"/>
          <w:sz w:val="24"/>
          <w:szCs w:val="24"/>
          <w:lang w:eastAsia="tr-TR"/>
        </w:rPr>
      </w:pPr>
      <w:r w:rsidRPr="00AA6EB7">
        <w:rPr>
          <w:rFonts w:ascii="Times New Roman" w:hAnsi="Times New Roman"/>
          <w:sz w:val="24"/>
          <w:szCs w:val="24"/>
        </w:rPr>
        <w:t>TBK m. 26’da da “</w:t>
      </w:r>
      <w:r w:rsidRPr="00AA6EB7">
        <w:rPr>
          <w:rFonts w:ascii="Times New Roman" w:eastAsia="Times New Roman" w:hAnsi="Times New Roman" w:cs="Times New Roman"/>
          <w:sz w:val="24"/>
          <w:szCs w:val="24"/>
          <w:lang w:eastAsia="tr-TR"/>
        </w:rPr>
        <w:t>Taraflar, bir sözleşmenin içeriğini kanunda öngörülen sınırlar içinde özgürce belirleyebilirler.” Hükmü ile sözleşme hürriyeti kanuni dayanağa sahip kılınmıştır.</w:t>
      </w:r>
    </w:p>
    <w:p w14:paraId="65624731" w14:textId="64AA2940" w:rsidR="003F2D1D" w:rsidRDefault="00FD2A0E" w:rsidP="00AA6EB7">
      <w:pPr>
        <w:spacing w:line="360" w:lineRule="auto"/>
        <w:rPr>
          <w:rFonts w:ascii="Times New Roman" w:hAnsi="Times New Roman"/>
          <w:sz w:val="24"/>
          <w:szCs w:val="24"/>
        </w:rPr>
      </w:pPr>
      <w:r w:rsidRPr="00AA6EB7">
        <w:rPr>
          <w:rFonts w:ascii="Times New Roman" w:hAnsi="Times New Roman"/>
          <w:sz w:val="24"/>
          <w:szCs w:val="24"/>
        </w:rPr>
        <w:t>Sözleşme hürriyetine ilişkin kanuni dayanak ise, AY m. 13 vd. hükümlerde gösterilmiş olan temel hak ve hürriyetlerin kısıtlanması rejimine uygun olarak,</w:t>
      </w:r>
      <w:r w:rsidRPr="00AA6EB7">
        <w:rPr>
          <w:rFonts w:ascii="Times New Roman" w:hAnsi="Times New Roman"/>
          <w:sz w:val="24"/>
          <w:szCs w:val="24"/>
        </w:rPr>
        <w:t xml:space="preserve"> </w:t>
      </w:r>
      <w:r w:rsidR="0049217C" w:rsidRPr="00AA6EB7">
        <w:rPr>
          <w:rFonts w:ascii="Times New Roman" w:hAnsi="Times New Roman"/>
          <w:sz w:val="24"/>
          <w:szCs w:val="24"/>
        </w:rPr>
        <w:t>TBK m. 27</w:t>
      </w:r>
      <w:r w:rsidR="005E7184" w:rsidRPr="00AA6EB7">
        <w:rPr>
          <w:rFonts w:ascii="Times New Roman" w:hAnsi="Times New Roman"/>
          <w:sz w:val="24"/>
          <w:szCs w:val="24"/>
        </w:rPr>
        <w:t>’</w:t>
      </w:r>
      <w:r w:rsidR="0049217C" w:rsidRPr="00AA6EB7">
        <w:rPr>
          <w:rFonts w:ascii="Times New Roman" w:hAnsi="Times New Roman"/>
          <w:sz w:val="24"/>
          <w:szCs w:val="24"/>
        </w:rPr>
        <w:t>de</w:t>
      </w:r>
      <w:r w:rsidR="005E7184" w:rsidRPr="00AA6EB7">
        <w:rPr>
          <w:rFonts w:ascii="Times New Roman" w:hAnsi="Times New Roman"/>
          <w:sz w:val="24"/>
          <w:szCs w:val="24"/>
        </w:rPr>
        <w:t xml:space="preserve"> yer almaktadır. Hükme göre </w:t>
      </w:r>
      <w:r w:rsidR="0049217C" w:rsidRPr="00AA6EB7">
        <w:rPr>
          <w:rFonts w:ascii="Times New Roman" w:hAnsi="Times New Roman"/>
          <w:sz w:val="24"/>
          <w:szCs w:val="24"/>
        </w:rPr>
        <w:t>“</w:t>
      </w:r>
      <w:r w:rsidR="0049217C" w:rsidRPr="00AA6EB7">
        <w:rPr>
          <w:rFonts w:ascii="Times New Roman" w:eastAsia="Times New Roman" w:hAnsi="Times New Roman" w:cs="Times New Roman"/>
          <w:sz w:val="24"/>
          <w:szCs w:val="24"/>
          <w:lang w:eastAsia="tr-TR"/>
        </w:rPr>
        <w:t>Kanunun emredici hükümlerine, ahlaka, kamu düzenine, kişilik haklarına aykırı veya konusu imkânsız olan sözleşmeler kesin olarak hükümsüzdür.</w:t>
      </w:r>
      <w:r w:rsidR="0049217C" w:rsidRPr="00AA6EB7">
        <w:rPr>
          <w:rFonts w:ascii="Times New Roman" w:hAnsi="Times New Roman"/>
          <w:sz w:val="24"/>
          <w:szCs w:val="24"/>
        </w:rPr>
        <w:t xml:space="preserve">“ O halde denilebilir ki </w:t>
      </w:r>
      <w:r w:rsidR="00CE6B6E" w:rsidRPr="00AA6EB7">
        <w:rPr>
          <w:rFonts w:ascii="Times New Roman" w:hAnsi="Times New Roman"/>
          <w:sz w:val="24"/>
          <w:szCs w:val="24"/>
        </w:rPr>
        <w:t>sözleşme özgürlüğünün sınırları</w:t>
      </w:r>
      <w:r w:rsidR="00CE1409">
        <w:rPr>
          <w:rFonts w:ascii="Times New Roman" w:hAnsi="Times New Roman"/>
          <w:sz w:val="24"/>
          <w:szCs w:val="24"/>
        </w:rPr>
        <w:t>:</w:t>
      </w:r>
      <w:r w:rsidR="00CE6B6E" w:rsidRPr="00AA6EB7">
        <w:rPr>
          <w:rFonts w:ascii="Times New Roman" w:hAnsi="Times New Roman"/>
          <w:sz w:val="24"/>
          <w:szCs w:val="24"/>
        </w:rPr>
        <w:t xml:space="preserve"> emredici hükümlere aykırılık; ahlaka, kamu düzenine, kişilik haklarına aykırılık veya sözleşmenin konusunun imkansız olmasıdır.</w:t>
      </w:r>
    </w:p>
    <w:p w14:paraId="7DE4E9FF" w14:textId="77777777" w:rsidR="00774AFE" w:rsidRPr="00AA6EB7" w:rsidRDefault="00774AFE" w:rsidP="00AA6EB7">
      <w:pPr>
        <w:spacing w:line="360" w:lineRule="auto"/>
        <w:rPr>
          <w:rFonts w:ascii="Times New Roman" w:eastAsia="Times New Roman" w:hAnsi="Times New Roman" w:cs="Times New Roman"/>
          <w:sz w:val="24"/>
          <w:szCs w:val="24"/>
          <w:lang w:eastAsia="tr-TR"/>
        </w:rPr>
      </w:pPr>
      <w:bookmarkStart w:id="0" w:name="_GoBack"/>
      <w:bookmarkEnd w:id="0"/>
    </w:p>
    <w:p w14:paraId="4D6D44DA" w14:textId="77777777" w:rsidR="004001D4" w:rsidRPr="00AA6EB7" w:rsidRDefault="004001D4" w:rsidP="00AA6EB7">
      <w:pPr>
        <w:pStyle w:val="GvdeMetni2"/>
        <w:ind w:firstLine="708"/>
        <w:jc w:val="both"/>
        <w:rPr>
          <w:rFonts w:ascii="Times New Roman" w:hAnsi="Times New Roman"/>
        </w:rPr>
      </w:pPr>
    </w:p>
    <w:p w14:paraId="73F73A75" w14:textId="77777777" w:rsidR="0037397D" w:rsidRPr="00AA6EB7" w:rsidRDefault="0037397D" w:rsidP="00AA6EB7">
      <w:pPr>
        <w:pStyle w:val="GvdeMetni2"/>
        <w:ind w:firstLine="708"/>
        <w:jc w:val="both"/>
        <w:rPr>
          <w:rFonts w:ascii="Times New Roman" w:hAnsi="Times New Roman"/>
        </w:rPr>
      </w:pPr>
      <w:r w:rsidRPr="00AA6EB7">
        <w:rPr>
          <w:rFonts w:ascii="Times New Roman" w:hAnsi="Times New Roman"/>
        </w:rPr>
        <w:t xml:space="preserve">Kaynak: Aral, Fahrettin / Ayrancı, Hasan, Borçlar Hukuku Özel Hükümler </w:t>
      </w:r>
    </w:p>
    <w:p w14:paraId="6E8A7D7B" w14:textId="77777777" w:rsidR="004001D4" w:rsidRPr="00AA6EB7" w:rsidRDefault="004001D4" w:rsidP="00AA6EB7">
      <w:pPr>
        <w:pStyle w:val="GvdeMetni2"/>
        <w:ind w:firstLine="708"/>
        <w:rPr>
          <w:rFonts w:ascii="Times New Roman" w:hAnsi="Times New Roman"/>
        </w:rPr>
      </w:pPr>
    </w:p>
    <w:p w14:paraId="51FCD5F0" w14:textId="77777777" w:rsidR="004001D4" w:rsidRPr="00AA6EB7" w:rsidRDefault="004001D4" w:rsidP="00AA6EB7">
      <w:pPr>
        <w:pStyle w:val="GvdeMetni2"/>
        <w:rPr>
          <w:rFonts w:ascii="Times New Roman" w:hAnsi="Times New Roman"/>
        </w:rPr>
      </w:pPr>
    </w:p>
    <w:sectPr w:rsidR="004001D4" w:rsidRPr="00AA6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E2386"/>
    <w:multiLevelType w:val="hybridMultilevel"/>
    <w:tmpl w:val="0DB078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B6F98"/>
    <w:rsid w:val="00273FCE"/>
    <w:rsid w:val="0037397D"/>
    <w:rsid w:val="003F2D1D"/>
    <w:rsid w:val="004001D4"/>
    <w:rsid w:val="0049217C"/>
    <w:rsid w:val="005E7184"/>
    <w:rsid w:val="00687282"/>
    <w:rsid w:val="00774AFE"/>
    <w:rsid w:val="007B1FE7"/>
    <w:rsid w:val="00AA6EB7"/>
    <w:rsid w:val="00CE1409"/>
    <w:rsid w:val="00CE6B6E"/>
    <w:rsid w:val="00F15CAB"/>
    <w:rsid w:val="00FD2A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54A1"/>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4441">
      <w:bodyDiv w:val="1"/>
      <w:marLeft w:val="0"/>
      <w:marRight w:val="0"/>
      <w:marTop w:val="0"/>
      <w:marBottom w:val="0"/>
      <w:divBdr>
        <w:top w:val="none" w:sz="0" w:space="0" w:color="auto"/>
        <w:left w:val="none" w:sz="0" w:space="0" w:color="auto"/>
        <w:bottom w:val="none" w:sz="0" w:space="0" w:color="auto"/>
        <w:right w:val="none" w:sz="0" w:space="0" w:color="auto"/>
      </w:divBdr>
    </w:div>
    <w:div w:id="16910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386</Words>
  <Characters>2206</Characters>
  <Application>Microsoft Macintosh Word</Application>
  <DocSecurity>0</DocSecurity>
  <Lines>18</Lines>
  <Paragraphs>5</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10</cp:revision>
  <dcterms:created xsi:type="dcterms:W3CDTF">2018-01-03T21:33:00Z</dcterms:created>
  <dcterms:modified xsi:type="dcterms:W3CDTF">2018-10-29T19:11:00Z</dcterms:modified>
</cp:coreProperties>
</file>