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26882" w14:textId="77777777" w:rsidR="00B71A14" w:rsidRPr="00D0083A" w:rsidRDefault="00B71A14" w:rsidP="00D0083A">
      <w:pPr>
        <w:pStyle w:val="Balk3"/>
        <w:spacing w:before="100" w:beforeAutospacing="1" w:after="100" w:afterAutospacing="1" w:line="360" w:lineRule="auto"/>
        <w:jc w:val="both"/>
        <w:rPr>
          <w:rFonts w:ascii="Calibri" w:hAnsi="Calibri" w:cstheme="minorBidi"/>
        </w:rPr>
      </w:pPr>
      <w:r w:rsidRPr="00D0083A">
        <w:rPr>
          <w:rFonts w:ascii="Calibri" w:hAnsi="Calibri" w:cstheme="minorBidi"/>
        </w:rPr>
        <w:t>TÜRK BORÇLAR KANUNU HÜKÜMLERİNİN UYGULANMASI</w:t>
      </w:r>
    </w:p>
    <w:p w14:paraId="242FEEC3" w14:textId="77777777" w:rsidR="00C07B94" w:rsidRPr="00D0083A" w:rsidRDefault="00C07B94" w:rsidP="00D0083A">
      <w:pPr>
        <w:spacing w:before="100" w:beforeAutospacing="1" w:after="100" w:afterAutospacing="1" w:line="360" w:lineRule="auto"/>
        <w:jc w:val="both"/>
        <w:rPr>
          <w:rFonts w:ascii="Calibri" w:hAnsi="Calibri" w:cs="Times New Roman"/>
          <w:sz w:val="24"/>
          <w:szCs w:val="24"/>
        </w:rPr>
      </w:pPr>
      <w:r w:rsidRPr="00D0083A">
        <w:rPr>
          <w:rFonts w:ascii="Calibri" w:hAnsi="Calibri" w:cs="Times New Roman"/>
          <w:sz w:val="24"/>
          <w:szCs w:val="24"/>
        </w:rPr>
        <w:t>Kanun’un genel ve özel hükümlerinin birbiriyle ilişkisinde iki ihtimalle karşılaşılır. Bunlardan birincisi, aynı meselenin iki kural tarafından düzenlenmesi, diğeri ise sadece bir kural tarafından düzenlenmesidir. İkinci ihtimalde konuyu düzenleyen tek kural uygulanır. Birinci ihtimalde ise, ilgili hükümleri yorumlayarak bir sonuca varmak gerekir. Bu hususta başlıca üç durum ortaya çıkabilir. Münhasır uygulama, birlikte uygulama ve yarışan kuralların uygulanması ortaya çıkan durumlardır.</w:t>
      </w:r>
    </w:p>
    <w:p w14:paraId="5DE776C5" w14:textId="77777777" w:rsidR="00C07B94" w:rsidRPr="00D0083A" w:rsidRDefault="00C07B94" w:rsidP="00D0083A">
      <w:pPr>
        <w:spacing w:before="100" w:beforeAutospacing="1" w:after="100" w:afterAutospacing="1" w:line="360" w:lineRule="auto"/>
        <w:ind w:firstLine="708"/>
        <w:jc w:val="both"/>
        <w:rPr>
          <w:rFonts w:ascii="Calibri" w:hAnsi="Calibri" w:cs="Times New Roman"/>
          <w:sz w:val="24"/>
          <w:szCs w:val="24"/>
        </w:rPr>
      </w:pPr>
      <w:r w:rsidRPr="00D0083A">
        <w:rPr>
          <w:rFonts w:ascii="Calibri" w:hAnsi="Calibri" w:cs="Times New Roman"/>
          <w:sz w:val="24"/>
          <w:szCs w:val="24"/>
        </w:rPr>
        <w:t>Münhasır uygulamada özel hükümler genel hükümlerin uygulanmasını önler.</w:t>
      </w:r>
    </w:p>
    <w:p w14:paraId="13C44BCB" w14:textId="77777777" w:rsidR="00C07B94" w:rsidRPr="00D0083A" w:rsidRDefault="00C07B94" w:rsidP="00D0083A">
      <w:pPr>
        <w:spacing w:before="100" w:beforeAutospacing="1" w:after="100" w:afterAutospacing="1" w:line="360" w:lineRule="auto"/>
        <w:ind w:firstLine="708"/>
        <w:jc w:val="both"/>
        <w:rPr>
          <w:sz w:val="24"/>
          <w:szCs w:val="24"/>
        </w:rPr>
      </w:pPr>
      <w:r w:rsidRPr="00D0083A">
        <w:rPr>
          <w:rFonts w:ascii="Calibri" w:hAnsi="Calibri" w:cs="Times New Roman"/>
          <w:sz w:val="24"/>
          <w:szCs w:val="24"/>
        </w:rPr>
        <w:t xml:space="preserve">Kuralların birlikte uygulanmasında özel ve genel hükümler birlikte uygulanır. </w:t>
      </w:r>
      <w:r w:rsidRPr="00D0083A">
        <w:rPr>
          <w:sz w:val="24"/>
          <w:szCs w:val="24"/>
        </w:rPr>
        <w:t xml:space="preserve">Taraflar kuralların her ikisine de uymakla yükümlüdür. </w:t>
      </w:r>
    </w:p>
    <w:p w14:paraId="6C9C779F" w14:textId="77777777" w:rsidR="00C07B94" w:rsidRPr="00D0083A" w:rsidRDefault="00C07B94" w:rsidP="00D0083A">
      <w:pPr>
        <w:spacing w:before="100" w:beforeAutospacing="1" w:after="100" w:afterAutospacing="1" w:line="360" w:lineRule="auto"/>
        <w:ind w:firstLine="708"/>
        <w:jc w:val="both"/>
        <w:rPr>
          <w:rFonts w:ascii="Calibri" w:hAnsi="Calibri" w:cs="Times New Roman"/>
          <w:sz w:val="24"/>
          <w:szCs w:val="24"/>
        </w:rPr>
      </w:pPr>
      <w:r w:rsidRPr="00D0083A">
        <w:rPr>
          <w:rFonts w:ascii="Calibri" w:hAnsi="Calibri" w:cs="Times New Roman"/>
          <w:sz w:val="24"/>
          <w:szCs w:val="24"/>
        </w:rPr>
        <w:t>Kuralların yarışmasında genel ve özel hük</w:t>
      </w:r>
      <w:bookmarkStart w:id="0" w:name="_GoBack"/>
      <w:bookmarkEnd w:id="0"/>
      <w:r w:rsidRPr="00D0083A">
        <w:rPr>
          <w:rFonts w:ascii="Calibri" w:hAnsi="Calibri" w:cs="Times New Roman"/>
          <w:sz w:val="24"/>
          <w:szCs w:val="24"/>
        </w:rPr>
        <w:t>ümler alternatif olarak uygulanır. Taraflar, şartlar gerçekleştiği takdirde, bu kurallardan istediklerinin uygulanmasını talep edebilirler.</w:t>
      </w:r>
    </w:p>
    <w:p w14:paraId="4A9FADDA" w14:textId="552DDCE2" w:rsidR="00441469" w:rsidRPr="00D0083A" w:rsidRDefault="00441469" w:rsidP="00D0083A">
      <w:pPr>
        <w:spacing w:after="60" w:line="360" w:lineRule="auto"/>
        <w:ind w:firstLine="340"/>
        <w:jc w:val="both"/>
        <w:rPr>
          <w:rFonts w:ascii="Times New Roman" w:hAnsi="Times New Roman" w:cs="Times New Roman"/>
          <w:color w:val="000000"/>
          <w:sz w:val="24"/>
          <w:szCs w:val="24"/>
          <w:lang w:eastAsia="tr-TR"/>
        </w:rPr>
      </w:pPr>
      <w:r w:rsidRPr="00D0083A">
        <w:rPr>
          <w:rFonts w:ascii="Calibri" w:hAnsi="Calibri" w:cs="Times New Roman"/>
          <w:sz w:val="24"/>
          <w:szCs w:val="24"/>
        </w:rPr>
        <w:t>Bunların yanında TMK m. 5’te düzenlenmiş olan “</w:t>
      </w:r>
      <w:r w:rsidRPr="00D0083A">
        <w:rPr>
          <w:rFonts w:ascii="Times New Roman" w:hAnsi="Times New Roman" w:cs="Times New Roman"/>
          <w:color w:val="000000"/>
          <w:sz w:val="24"/>
          <w:szCs w:val="24"/>
          <w:lang w:eastAsia="tr-TR"/>
        </w:rPr>
        <w:t xml:space="preserve">Bu Kanun ve </w:t>
      </w:r>
      <w:proofErr w:type="gramStart"/>
      <w:r w:rsidRPr="00D0083A">
        <w:rPr>
          <w:rFonts w:ascii="Times New Roman" w:hAnsi="Times New Roman" w:cs="Times New Roman"/>
          <w:color w:val="000000"/>
          <w:sz w:val="24"/>
          <w:szCs w:val="24"/>
          <w:lang w:eastAsia="tr-TR"/>
        </w:rPr>
        <w:t>Borçlar Kanununun</w:t>
      </w:r>
      <w:proofErr w:type="gramEnd"/>
      <w:r w:rsidRPr="00D0083A">
        <w:rPr>
          <w:rFonts w:ascii="Times New Roman" w:hAnsi="Times New Roman" w:cs="Times New Roman"/>
          <w:color w:val="000000"/>
          <w:sz w:val="24"/>
          <w:szCs w:val="24"/>
          <w:lang w:eastAsia="tr-TR"/>
        </w:rPr>
        <w:t xml:space="preserve"> genel nitelikli hükümleri, uygun düştüğü ölçüde tüm özel hukuk ilişkilerine uygulanır.” Hükmünün de dikkate alınması gerekmektedir.</w:t>
      </w:r>
      <w:r w:rsidR="00D0083A" w:rsidRPr="00D0083A">
        <w:rPr>
          <w:rFonts w:ascii="Times New Roman" w:hAnsi="Times New Roman" w:cs="Times New Roman"/>
          <w:color w:val="000000"/>
          <w:sz w:val="24"/>
          <w:szCs w:val="24"/>
          <w:lang w:eastAsia="tr-TR"/>
        </w:rPr>
        <w:t xml:space="preserve"> Bu hüküm çerçevesinde </w:t>
      </w:r>
      <w:proofErr w:type="spellStart"/>
      <w:r w:rsidR="00D0083A" w:rsidRPr="00D0083A">
        <w:rPr>
          <w:rFonts w:ascii="Times New Roman" w:hAnsi="Times New Roman" w:cs="Times New Roman"/>
          <w:color w:val="000000"/>
          <w:sz w:val="24"/>
          <w:szCs w:val="24"/>
          <w:lang w:eastAsia="tr-TR"/>
        </w:rPr>
        <w:t>TBK’nın</w:t>
      </w:r>
      <w:proofErr w:type="spellEnd"/>
      <w:r w:rsidR="00D0083A" w:rsidRPr="00D0083A">
        <w:rPr>
          <w:rFonts w:ascii="Times New Roman" w:hAnsi="Times New Roman" w:cs="Times New Roman"/>
          <w:color w:val="000000"/>
          <w:sz w:val="24"/>
          <w:szCs w:val="24"/>
          <w:lang w:eastAsia="tr-TR"/>
        </w:rPr>
        <w:t xml:space="preserve"> genel nitelikli hükümleri uygun düştükleri ölçüde bütün özel hukuk ilişkilerine uygulanacaktır. O halde, denilebilir ki, özel hüküm bulunmadığı haller başta olmak üzere, özel hükmün bulunup uygulanmasının tam olamayacağının düşünüldüğü hallerde genel hükümlere gidilecektir. </w:t>
      </w:r>
    </w:p>
    <w:p w14:paraId="6ADD653A" w14:textId="77777777" w:rsidR="00441469" w:rsidRPr="00441469" w:rsidRDefault="00441469" w:rsidP="00D0083A">
      <w:pPr>
        <w:spacing w:after="0" w:line="360" w:lineRule="auto"/>
        <w:rPr>
          <w:rFonts w:ascii="Times New Roman" w:eastAsia="Times New Roman" w:hAnsi="Times New Roman" w:cs="Times New Roman"/>
          <w:sz w:val="24"/>
          <w:szCs w:val="24"/>
          <w:lang w:eastAsia="tr-TR"/>
        </w:rPr>
      </w:pPr>
    </w:p>
    <w:p w14:paraId="42919A46" w14:textId="058CD103" w:rsidR="00441469" w:rsidRPr="00D0083A" w:rsidRDefault="00441469" w:rsidP="00D0083A">
      <w:pPr>
        <w:spacing w:before="100" w:beforeAutospacing="1" w:after="100" w:afterAutospacing="1" w:line="360" w:lineRule="auto"/>
        <w:ind w:firstLine="708"/>
        <w:jc w:val="both"/>
        <w:rPr>
          <w:rFonts w:ascii="Calibri" w:hAnsi="Calibri" w:cs="Times New Roman"/>
          <w:sz w:val="24"/>
          <w:szCs w:val="24"/>
        </w:rPr>
      </w:pPr>
    </w:p>
    <w:p w14:paraId="49A5F68A" w14:textId="77777777" w:rsidR="00F15CAB" w:rsidRPr="00D0083A" w:rsidRDefault="00F15CAB" w:rsidP="00D0083A">
      <w:pPr>
        <w:spacing w:before="100" w:beforeAutospacing="1" w:after="100" w:afterAutospacing="1" w:line="360" w:lineRule="auto"/>
        <w:jc w:val="both"/>
        <w:rPr>
          <w:sz w:val="24"/>
          <w:szCs w:val="24"/>
        </w:rPr>
      </w:pPr>
    </w:p>
    <w:p w14:paraId="7EEFD5A2" w14:textId="77777777" w:rsidR="00C22C4C" w:rsidRPr="00D0083A" w:rsidRDefault="00C22C4C" w:rsidP="00D0083A">
      <w:pPr>
        <w:spacing w:before="100" w:beforeAutospacing="1" w:after="100" w:afterAutospacing="1" w:line="360" w:lineRule="auto"/>
        <w:jc w:val="both"/>
        <w:rPr>
          <w:rFonts w:ascii="Times New Roman" w:hAnsi="Times New Roman" w:cs="Times New Roman"/>
          <w:sz w:val="24"/>
          <w:szCs w:val="24"/>
        </w:rPr>
      </w:pPr>
      <w:r w:rsidRPr="00D0083A">
        <w:rPr>
          <w:rFonts w:ascii="Times New Roman" w:hAnsi="Times New Roman" w:cs="Times New Roman"/>
          <w:sz w:val="24"/>
          <w:szCs w:val="24"/>
        </w:rPr>
        <w:t>Kaynak: Aral, Fahrettin / Ayrancı, Hasan, Borçlar Hukuku Özel Hükümler</w:t>
      </w:r>
    </w:p>
    <w:p w14:paraId="51E3AF52" w14:textId="77777777" w:rsidR="00C22C4C" w:rsidRPr="00D0083A" w:rsidRDefault="00C22C4C" w:rsidP="00D0083A">
      <w:pPr>
        <w:spacing w:before="100" w:beforeAutospacing="1" w:after="100" w:afterAutospacing="1" w:line="360" w:lineRule="auto"/>
        <w:jc w:val="both"/>
        <w:rPr>
          <w:sz w:val="24"/>
          <w:szCs w:val="24"/>
        </w:rPr>
      </w:pPr>
    </w:p>
    <w:sectPr w:rsidR="00C22C4C" w:rsidRPr="00D00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B6F98"/>
    <w:rsid w:val="00273FCE"/>
    <w:rsid w:val="00441469"/>
    <w:rsid w:val="00687282"/>
    <w:rsid w:val="0087534C"/>
    <w:rsid w:val="00B71A14"/>
    <w:rsid w:val="00C07B94"/>
    <w:rsid w:val="00C22C4C"/>
    <w:rsid w:val="00D0083A"/>
    <w:rsid w:val="00E22091"/>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BE5"/>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1289</Characters>
  <Application>Microsoft Macintosh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6</cp:revision>
  <dcterms:created xsi:type="dcterms:W3CDTF">2018-01-03T21:38:00Z</dcterms:created>
  <dcterms:modified xsi:type="dcterms:W3CDTF">2018-10-29T20:44:00Z</dcterms:modified>
</cp:coreProperties>
</file>