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1FD" w:rsidRDefault="00B6336C">
      <w:pPr>
        <w:rPr>
          <w:b/>
        </w:rPr>
      </w:pPr>
      <w:r>
        <w:rPr>
          <w:b/>
        </w:rPr>
        <w:t>KONU 4:</w:t>
      </w:r>
    </w:p>
    <w:p w:rsidR="00970C6B" w:rsidRPr="00970C6B" w:rsidRDefault="00970C6B">
      <w:pPr>
        <w:rPr>
          <w:b/>
        </w:rPr>
      </w:pPr>
      <w:r w:rsidRPr="00970C6B">
        <w:rPr>
          <w:b/>
        </w:rPr>
        <w:t>Standartların Hazırlanması ve Sınıflandırılması</w:t>
      </w:r>
    </w:p>
    <w:p w:rsidR="00970C6B" w:rsidRPr="00970C6B" w:rsidRDefault="00970C6B" w:rsidP="00970C6B">
      <w:pPr>
        <w:pStyle w:val="Balk4"/>
        <w:rPr>
          <w:rFonts w:asciiTheme="minorHAnsi" w:hAnsiTheme="minorHAnsi"/>
          <w:sz w:val="22"/>
          <w:szCs w:val="22"/>
        </w:rPr>
      </w:pPr>
      <w:bookmarkStart w:id="0" w:name="_Toc377562988"/>
      <w:bookmarkStart w:id="1" w:name="_Toc377563238"/>
      <w:proofErr w:type="spellStart"/>
      <w:r w:rsidRPr="00970C6B">
        <w:rPr>
          <w:rFonts w:asciiTheme="minorHAnsi" w:hAnsiTheme="minorHAnsi"/>
          <w:sz w:val="22"/>
          <w:szCs w:val="22"/>
        </w:rPr>
        <w:t>Türk</w:t>
      </w:r>
      <w:proofErr w:type="spellEnd"/>
      <w:r w:rsidRPr="00970C6B">
        <w:rPr>
          <w:rFonts w:asciiTheme="minorHAnsi" w:hAnsiTheme="minorHAnsi"/>
          <w:sz w:val="22"/>
          <w:szCs w:val="22"/>
        </w:rPr>
        <w:t xml:space="preserve"> </w:t>
      </w:r>
      <w:proofErr w:type="spellStart"/>
      <w:r w:rsidRPr="00970C6B">
        <w:rPr>
          <w:rFonts w:asciiTheme="minorHAnsi" w:hAnsiTheme="minorHAnsi"/>
          <w:sz w:val="22"/>
          <w:szCs w:val="22"/>
        </w:rPr>
        <w:t>Standartlarının</w:t>
      </w:r>
      <w:proofErr w:type="spellEnd"/>
      <w:r w:rsidRPr="00970C6B">
        <w:rPr>
          <w:rFonts w:asciiTheme="minorHAnsi" w:hAnsiTheme="minorHAnsi"/>
          <w:sz w:val="22"/>
          <w:szCs w:val="22"/>
        </w:rPr>
        <w:t xml:space="preserve"> </w:t>
      </w:r>
      <w:proofErr w:type="spellStart"/>
      <w:r w:rsidRPr="00970C6B">
        <w:rPr>
          <w:rFonts w:asciiTheme="minorHAnsi" w:hAnsiTheme="minorHAnsi"/>
          <w:sz w:val="22"/>
          <w:szCs w:val="22"/>
        </w:rPr>
        <w:t>hazırlanması</w:t>
      </w:r>
      <w:bookmarkEnd w:id="0"/>
      <w:bookmarkEnd w:id="1"/>
      <w:proofErr w:type="spellEnd"/>
    </w:p>
    <w:p w:rsidR="00970C6B" w:rsidRPr="00970C6B" w:rsidRDefault="00970C6B" w:rsidP="00970C6B">
      <w:pPr>
        <w:tabs>
          <w:tab w:val="left" w:pos="1000"/>
        </w:tabs>
        <w:spacing w:before="120"/>
        <w:jc w:val="both"/>
      </w:pPr>
      <w:r w:rsidRPr="00970C6B">
        <w:t>Bir Türk Standardı (TS), TSE tarafından Türkçe olarak hazırlanan bir belgedir.  Son yıllarda, Adapte Türk Standardı adı altında Avrupa Birliği ve Uluslararası Standartlardan bazıları İngilizce metin Türkçe başlıkla yayımlanmaktadır. Hazırlanan bir Türk Standardı, ulusal düzeyde duyurulur ve yayınlanır. Bir Avrupa standardı özdeş Türk standardı olarak onaylanırsa, bununla aynı konudaki ulusal Türk Standardı iptal edilir. Bir Türk Standardının içeriği, başka bir AB Standardının içeriği veya başka bir ulusal Türk standardının içeriği ile çelişmez. Bir Türk Standardı düzenli aralıklarla gözden geçirilir. Türk Standardının geliştirilmesi ve yürürlükte olduğu süre içerisinde, bir Avrupa standardı ile çelişmesi durumunda söz konusu Türk Standardının iptali mümkündür.</w:t>
      </w:r>
    </w:p>
    <w:p w:rsidR="00970C6B" w:rsidRPr="00970C6B" w:rsidRDefault="00970C6B" w:rsidP="00970C6B">
      <w:pPr>
        <w:tabs>
          <w:tab w:val="left" w:pos="1000"/>
        </w:tabs>
        <w:spacing w:before="120"/>
        <w:jc w:val="both"/>
      </w:pPr>
      <w:r w:rsidRPr="00970C6B">
        <w:t>Türk Standardı tasarısının hazırlanması için önce aşağıdaki hususların belirlenmesi gerekir:</w:t>
      </w:r>
    </w:p>
    <w:p w:rsidR="00970C6B" w:rsidRPr="00970C6B" w:rsidRDefault="00970C6B" w:rsidP="00970C6B">
      <w:pPr>
        <w:spacing w:before="120"/>
        <w:ind w:left="284" w:hanging="284"/>
        <w:jc w:val="both"/>
      </w:pPr>
      <w:r w:rsidRPr="00970C6B">
        <w:t>- İlgili alanda yayınlanmış bir Avrupa standardı veya uluslararası çalışma olup olmadığı ve bu konuda bir Türk Standardını hazırlanmasının uygun olup olmayacağı,</w:t>
      </w:r>
    </w:p>
    <w:p w:rsidR="00970C6B" w:rsidRPr="00970C6B" w:rsidRDefault="00970C6B" w:rsidP="00970C6B">
      <w:pPr>
        <w:spacing w:before="120"/>
        <w:ind w:left="284" w:hanging="284"/>
        <w:jc w:val="both"/>
      </w:pPr>
      <w:r w:rsidRPr="00970C6B">
        <w:t>- Bu çalışmanın, Avrupa Standartlaştırma Örgütü (CEN) ile Uluslararası Standartlaştırma Örgütü (ISO) arasındaki uluslararası anlaşmalar çerçevesinde geliştirilip geliştirilemeyeceği.</w:t>
      </w:r>
    </w:p>
    <w:p w:rsidR="00970C6B" w:rsidRPr="00970C6B" w:rsidRDefault="00970C6B" w:rsidP="00970C6B">
      <w:pPr>
        <w:tabs>
          <w:tab w:val="left" w:pos="1100"/>
        </w:tabs>
        <w:jc w:val="both"/>
      </w:pPr>
      <w:r w:rsidRPr="00970C6B">
        <w:t xml:space="preserve">Teklif edilen yeni standart konusu ile ilgili uluslararası bir çalışma </w:t>
      </w:r>
      <w:proofErr w:type="gramStart"/>
      <w:r w:rsidRPr="00970C6B">
        <w:t>yoksa,</w:t>
      </w:r>
      <w:proofErr w:type="gramEnd"/>
      <w:r w:rsidRPr="00970C6B">
        <w:t xml:space="preserve"> aşağıdaki seçenekler söz konusudur:</w:t>
      </w:r>
    </w:p>
    <w:p w:rsidR="00970C6B" w:rsidRPr="00970C6B" w:rsidRDefault="00970C6B" w:rsidP="00970C6B">
      <w:pPr>
        <w:spacing w:before="120"/>
        <w:ind w:left="142" w:hanging="142"/>
        <w:jc w:val="both"/>
      </w:pPr>
      <w:r w:rsidRPr="00970C6B">
        <w:t>- Telif hakları hususu çözümlenmiş, yayınlanmış başka bir yazılı belgenin, bir Türk Standardı olarak geliştirilmesinin uygun olup olmadığını belirlemek için anket yapılabilir</w:t>
      </w:r>
    </w:p>
    <w:p w:rsidR="00970C6B" w:rsidRPr="00970C6B" w:rsidRDefault="00970C6B" w:rsidP="00970C6B">
      <w:pPr>
        <w:spacing w:before="120"/>
        <w:ind w:left="142" w:hanging="142"/>
        <w:jc w:val="both"/>
      </w:pPr>
      <w:r w:rsidRPr="00970C6B">
        <w:t>- Teklif, standart taslağı hazırlamak üzere İhtisas Grubunca görevlendirilen uygun bir Teknik Komiteye gönderilebilir.</w:t>
      </w:r>
    </w:p>
    <w:p w:rsidR="00970C6B" w:rsidRPr="00970C6B" w:rsidRDefault="00970C6B" w:rsidP="00970C6B">
      <w:pPr>
        <w:spacing w:before="120"/>
        <w:ind w:left="142" w:hanging="142"/>
        <w:jc w:val="both"/>
      </w:pPr>
      <w:r w:rsidRPr="00970C6B">
        <w:t xml:space="preserve">- Türk Standardı yapılmak istenen tasarı konusu, Teknik Komitede ve Konu </w:t>
      </w:r>
      <w:proofErr w:type="gramStart"/>
      <w:r w:rsidRPr="00970C6B">
        <w:t>raportörünün</w:t>
      </w:r>
      <w:proofErr w:type="gramEnd"/>
      <w:r w:rsidRPr="00970C6B">
        <w:t xml:space="preserve"> katılımı ile İhtisas Grubunda olgunlaştırılabilir.</w:t>
      </w:r>
    </w:p>
    <w:p w:rsidR="00970C6B" w:rsidRPr="00970C6B" w:rsidRDefault="00970C6B" w:rsidP="00970C6B">
      <w:pPr>
        <w:jc w:val="both"/>
      </w:pPr>
      <w:r w:rsidRPr="00970C6B">
        <w:rPr>
          <w:noProof/>
          <w:lang w:eastAsia="tr-TR"/>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60960</wp:posOffset>
                </wp:positionV>
                <wp:extent cx="1938655" cy="2743200"/>
                <wp:effectExtent l="0" t="0" r="0" b="4445"/>
                <wp:wrapNone/>
                <wp:docPr id="58" name="Metin Kutusu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743200"/>
                        </a:xfrm>
                        <a:prstGeom prst="rect">
                          <a:avLst/>
                        </a:prstGeom>
                        <a:noFill/>
                        <a:ln>
                          <a:noFill/>
                        </a:ln>
                        <a:effectLst/>
                        <a:extLst>
                          <a:ext uri="{909E8E84-426E-40DD-AFC4-6F175D3DCCD1}">
                            <a14:hiddenFill xmlns:a14="http://schemas.microsoft.com/office/drawing/2010/main">
                              <a:solidFill>
                                <a:srgbClr val="99CC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Avrupa Standartları</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Uluslararası Standartlar</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Sistematik Gözden Geçirme</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Bakanlıklar</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Kamu kurum ve kuruluşları</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Özel sektör kuruluşları</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Bilimsel kuruluşlar</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Tüketici dernekleri</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Mesleki kuruluşlar</w:t>
                            </w:r>
                            <w:r>
                              <w:rPr>
                                <w:color w:val="000000"/>
                              </w:rPr>
                              <w:t>ı</w:t>
                            </w:r>
                          </w:p>
                          <w:p w:rsidR="00970C6B" w:rsidRDefault="00970C6B" w:rsidP="00970C6B">
                            <w:pPr>
                              <w:numPr>
                                <w:ilvl w:val="0"/>
                                <w:numId w:val="2"/>
                              </w:numPr>
                              <w:autoSpaceDE w:val="0"/>
                              <w:autoSpaceDN w:val="0"/>
                              <w:adjustRightInd w:val="0"/>
                              <w:spacing w:after="0" w:line="240" w:lineRule="auto"/>
                              <w:ind w:left="720" w:hanging="360"/>
                              <w:rPr>
                                <w:rFonts w:ascii="Arial" w:hAnsi="Arial" w:cs="Arial"/>
                                <w:color w:val="000000"/>
                                <w:szCs w:val="32"/>
                              </w:rPr>
                            </w:pPr>
                            <w:r>
                              <w:rPr>
                                <w:rFonts w:ascii="Arial" w:hAnsi="Arial" w:cs="Arial"/>
                                <w:color w:val="000000"/>
                                <w:szCs w:val="32"/>
                              </w:rPr>
                              <w:t>Enstitü birimleri</w:t>
                            </w:r>
                          </w:p>
                        </w:txbxContent>
                      </wps:txbx>
                      <wps:bodyPr rot="0" vert="horz" wrap="square" lIns="64008" tIns="32004" rIns="64008" bIns="32004"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58" o:spid="_x0000_s1026" type="#_x0000_t202" style="position:absolute;left:0;text-align:left;margin-left:0;margin-top:4.8pt;width:152.6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" filled="f" fillcolor="#9c0" stroked="f">
                <v:textbox inset="5.04pt,2.52pt,5.04pt,2.52pt">
                  <w:txbxContent>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Avrupa Standartları</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Uluslararası Standartlar</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Sistematik Gözden Geçirme</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Bakanlıklar</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Kamu kurum ve kuruluşları</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Özel sektör kuruluşları</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Bilimsel kuruluşlar</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Tüketici dernekleri</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Mesleki kuruluşlar</w:t>
                      </w:r>
                      <w:r>
                        <w:rPr>
                          <w:color w:val="000000"/>
                        </w:rPr>
                        <w:t>ı</w:t>
                      </w:r>
                    </w:p>
                    <w:p w:rsidR="00970C6B" w:rsidRDefault="00970C6B" w:rsidP="00970C6B">
                      <w:pPr>
                        <w:numPr>
                          <w:ilvl w:val="0"/>
                          <w:numId w:val="2"/>
                        </w:numPr>
                        <w:autoSpaceDE w:val="0"/>
                        <w:autoSpaceDN w:val="0"/>
                        <w:adjustRightInd w:val="0"/>
                        <w:spacing w:after="0" w:line="240" w:lineRule="auto"/>
                        <w:ind w:left="720" w:hanging="360"/>
                        <w:rPr>
                          <w:rFonts w:ascii="Arial" w:hAnsi="Arial" w:cs="Arial"/>
                          <w:color w:val="000000"/>
                          <w:szCs w:val="32"/>
                        </w:rPr>
                      </w:pPr>
                      <w:r>
                        <w:rPr>
                          <w:rFonts w:ascii="Arial" w:hAnsi="Arial" w:cs="Arial"/>
                          <w:color w:val="000000"/>
                          <w:szCs w:val="32"/>
                        </w:rPr>
                        <w:t>Enstitü birimleri</w:t>
                      </w:r>
                    </w:p>
                  </w:txbxContent>
                </v:textbox>
              </v:shape>
            </w:pict>
          </mc:Fallback>
        </mc:AlternateContent>
      </w:r>
    </w:p>
    <w:p w:rsidR="00970C6B" w:rsidRPr="00970C6B" w:rsidRDefault="00970C6B" w:rsidP="00970C6B">
      <w:pPr>
        <w:jc w:val="both"/>
      </w:pPr>
    </w:p>
    <w:p w:rsidR="00970C6B" w:rsidRPr="00970C6B" w:rsidRDefault="00970C6B" w:rsidP="00970C6B">
      <w:pPr>
        <w:jc w:val="both"/>
      </w:pPr>
    </w:p>
    <w:p w:rsidR="00970C6B" w:rsidRPr="00970C6B" w:rsidRDefault="00970C6B" w:rsidP="00970C6B">
      <w:pPr>
        <w:jc w:val="both"/>
      </w:pPr>
    </w:p>
    <w:p w:rsidR="00970C6B" w:rsidRPr="00970C6B" w:rsidRDefault="00970C6B" w:rsidP="00970C6B">
      <w:pPr>
        <w:jc w:val="both"/>
      </w:pPr>
    </w:p>
    <w:p w:rsidR="00970C6B" w:rsidRPr="00970C6B" w:rsidRDefault="00970C6B" w:rsidP="00970C6B">
      <w:pPr>
        <w:jc w:val="both"/>
      </w:pPr>
    </w:p>
    <w:p w:rsidR="00970C6B" w:rsidRPr="00970C6B" w:rsidRDefault="00970C6B" w:rsidP="00970C6B">
      <w:pPr>
        <w:jc w:val="both"/>
      </w:pPr>
    </w:p>
    <w:p w:rsidR="00970C6B" w:rsidRPr="00970C6B" w:rsidRDefault="00970C6B" w:rsidP="00970C6B">
      <w:pPr>
        <w:jc w:val="both"/>
      </w:pPr>
    </w:p>
    <w:p w:rsidR="00970C6B" w:rsidRPr="00970C6B" w:rsidRDefault="00970C6B" w:rsidP="00970C6B">
      <w:pPr>
        <w:jc w:val="both"/>
      </w:pPr>
    </w:p>
    <w:p w:rsidR="00970C6B" w:rsidRPr="00970C6B" w:rsidRDefault="00970C6B" w:rsidP="00970C6B">
      <w:pPr>
        <w:jc w:val="both"/>
      </w:pPr>
    </w:p>
    <w:p w:rsidR="00970C6B" w:rsidRDefault="00970C6B" w:rsidP="00970C6B">
      <w:pPr>
        <w:jc w:val="both"/>
        <w:rPr>
          <w:b/>
          <w:bCs/>
        </w:rPr>
      </w:pPr>
    </w:p>
    <w:p w:rsidR="00970C6B" w:rsidRDefault="00970C6B" w:rsidP="00970C6B">
      <w:pPr>
        <w:jc w:val="both"/>
        <w:rPr>
          <w:b/>
          <w:bCs/>
        </w:rPr>
      </w:pPr>
    </w:p>
    <w:p w:rsidR="00970C6B" w:rsidRPr="00970C6B" w:rsidRDefault="00970C6B" w:rsidP="00970C6B">
      <w:pPr>
        <w:jc w:val="both"/>
      </w:pPr>
      <w:r w:rsidRPr="00970C6B">
        <w:rPr>
          <w:b/>
          <w:bCs/>
        </w:rPr>
        <w:lastRenderedPageBreak/>
        <w:t>3. Mütalaa</w:t>
      </w:r>
    </w:p>
    <w:p w:rsidR="00970C6B" w:rsidRPr="00970C6B" w:rsidRDefault="00970C6B" w:rsidP="00970C6B">
      <w:pPr>
        <w:jc w:val="both"/>
      </w:pPr>
      <w:r w:rsidRPr="00970C6B">
        <w:rPr>
          <w:noProof/>
          <w:lang w:eastAsia="tr-TR"/>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147955</wp:posOffset>
                </wp:positionV>
                <wp:extent cx="1609725" cy="1676400"/>
                <wp:effectExtent l="0" t="0" r="0" b="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676400"/>
                        </a:xfrm>
                        <a:prstGeom prst="rect">
                          <a:avLst/>
                        </a:prstGeom>
                        <a:noFill/>
                        <a:ln>
                          <a:noFill/>
                        </a:ln>
                        <a:effectLst/>
                        <a:extLst>
                          <a:ext uri="{909E8E84-426E-40DD-AFC4-6F175D3DCCD1}">
                            <a14:hiddenFill xmlns:a14="http://schemas.microsoft.com/office/drawing/2010/main">
                              <a:solidFill>
                                <a:srgbClr val="99CC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İlgili kurumlar</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Firmalar</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Internet</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Sektör dernekleri</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Ayna komiteler</w:t>
                            </w:r>
                          </w:p>
                          <w:p w:rsidR="00970C6B" w:rsidRDefault="00970C6B" w:rsidP="00970C6B">
                            <w:pPr>
                              <w:numPr>
                                <w:ilvl w:val="0"/>
                                <w:numId w:val="2"/>
                              </w:numPr>
                              <w:autoSpaceDE w:val="0"/>
                              <w:autoSpaceDN w:val="0"/>
                              <w:adjustRightInd w:val="0"/>
                              <w:spacing w:after="0" w:line="240" w:lineRule="auto"/>
                              <w:ind w:left="720" w:hanging="360"/>
                              <w:rPr>
                                <w:rFonts w:ascii="Arial" w:hAnsi="Arial" w:cs="Arial"/>
                                <w:color w:val="000000"/>
                                <w:sz w:val="23"/>
                                <w:szCs w:val="32"/>
                              </w:rPr>
                            </w:pPr>
                            <w:r>
                              <w:rPr>
                                <w:rFonts w:ascii="Arial" w:hAnsi="Arial" w:cs="Arial"/>
                                <w:color w:val="000000"/>
                                <w:sz w:val="23"/>
                                <w:szCs w:val="32"/>
                              </w:rPr>
                              <w:t>Tüketici dernekleri</w:t>
                            </w:r>
                          </w:p>
                        </w:txbxContent>
                      </wps:txbx>
                      <wps:bodyPr rot="0" vert="horz" wrap="square" lIns="66751" tIns="33376" rIns="66751" bIns="33376" upright="1">
                        <a:noAutofit/>
                      </wps:bodyPr>
                    </wps:wsp>
                  </a:graphicData>
                </a:graphic>
                <wp14:sizeRelH relativeFrom="page">
                  <wp14:pctWidth>0</wp14:pctWidth>
                </wp14:sizeRelH>
                <wp14:sizeRelV relativeFrom="page">
                  <wp14:pctHeight>0</wp14:pctHeight>
                </wp14:sizeRelV>
              </wp:anchor>
            </w:drawing>
          </mc:Choice>
          <mc:Fallback>
            <w:pict>
              <v:shape id="Metin Kutusu 26" o:spid="_x0000_s1027" type="#_x0000_t202" style="position:absolute;left:0;text-align:left;margin-left:0;margin-top:11.65pt;width:126.75pt;height:13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" filled="f" fillcolor="#9c0" stroked="f">
                <v:textbox inset="1.85419mm,.92711mm,1.85419mm,.92711mm">
                  <w:txbxContent>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İlgili kurumlar</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Firmalar</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Internet</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Sektör dernekleri</w:t>
                      </w:r>
                    </w:p>
                    <w:p w:rsidR="00970C6B" w:rsidRPr="00090BB5" w:rsidRDefault="00970C6B" w:rsidP="00970C6B">
                      <w:pPr>
                        <w:numPr>
                          <w:ilvl w:val="0"/>
                          <w:numId w:val="2"/>
                        </w:numPr>
                        <w:autoSpaceDE w:val="0"/>
                        <w:autoSpaceDN w:val="0"/>
                        <w:adjustRightInd w:val="0"/>
                        <w:spacing w:after="0" w:line="240" w:lineRule="auto"/>
                        <w:ind w:left="720" w:hanging="360"/>
                        <w:rPr>
                          <w:color w:val="000000"/>
                        </w:rPr>
                      </w:pPr>
                      <w:r w:rsidRPr="00090BB5">
                        <w:rPr>
                          <w:color w:val="000000"/>
                        </w:rPr>
                        <w:t>Ayna komiteler</w:t>
                      </w:r>
                    </w:p>
                    <w:p w:rsidR="00970C6B" w:rsidRDefault="00970C6B" w:rsidP="00970C6B">
                      <w:pPr>
                        <w:numPr>
                          <w:ilvl w:val="0"/>
                          <w:numId w:val="2"/>
                        </w:numPr>
                        <w:autoSpaceDE w:val="0"/>
                        <w:autoSpaceDN w:val="0"/>
                        <w:adjustRightInd w:val="0"/>
                        <w:spacing w:after="0" w:line="240" w:lineRule="auto"/>
                        <w:ind w:left="720" w:hanging="360"/>
                        <w:rPr>
                          <w:rFonts w:ascii="Arial" w:hAnsi="Arial" w:cs="Arial"/>
                          <w:color w:val="000000"/>
                          <w:sz w:val="23"/>
                          <w:szCs w:val="32"/>
                        </w:rPr>
                      </w:pPr>
                      <w:r>
                        <w:rPr>
                          <w:rFonts w:ascii="Arial" w:hAnsi="Arial" w:cs="Arial"/>
                          <w:color w:val="000000"/>
                          <w:sz w:val="23"/>
                          <w:szCs w:val="32"/>
                        </w:rPr>
                        <w:t>Tüketici dernekleri</w:t>
                      </w:r>
                    </w:p>
                  </w:txbxContent>
                </v:textbox>
                <w10:wrap anchorx="margin"/>
              </v:shape>
            </w:pict>
          </mc:Fallback>
        </mc:AlternateContent>
      </w:r>
    </w:p>
    <w:p w:rsidR="00970C6B" w:rsidRPr="00970C6B" w:rsidRDefault="00970C6B" w:rsidP="00970C6B">
      <w:pPr>
        <w:jc w:val="both"/>
      </w:pPr>
    </w:p>
    <w:p w:rsidR="00970C6B" w:rsidRPr="00970C6B" w:rsidRDefault="00970C6B" w:rsidP="00970C6B">
      <w:pPr>
        <w:jc w:val="both"/>
      </w:pPr>
    </w:p>
    <w:p w:rsidR="00970C6B" w:rsidRPr="00970C6B" w:rsidRDefault="00970C6B" w:rsidP="00970C6B">
      <w:pPr>
        <w:jc w:val="both"/>
      </w:pPr>
    </w:p>
    <w:p w:rsidR="00970C6B" w:rsidRPr="00970C6B" w:rsidRDefault="00970C6B" w:rsidP="00970C6B">
      <w:pPr>
        <w:jc w:val="both"/>
      </w:pPr>
    </w:p>
    <w:p w:rsidR="00970C6B" w:rsidRPr="00970C6B" w:rsidRDefault="00970C6B" w:rsidP="00970C6B">
      <w:pPr>
        <w:jc w:val="both"/>
      </w:pPr>
    </w:p>
    <w:p w:rsidR="00970C6B" w:rsidRDefault="00970C6B" w:rsidP="00970C6B">
      <w:pPr>
        <w:jc w:val="both"/>
        <w:rPr>
          <w:b/>
          <w:bCs/>
        </w:rPr>
      </w:pPr>
    </w:p>
    <w:p w:rsidR="00970C6B" w:rsidRPr="00970C6B" w:rsidRDefault="00970C6B" w:rsidP="00970C6B">
      <w:pPr>
        <w:jc w:val="both"/>
        <w:rPr>
          <w:b/>
          <w:bCs/>
        </w:rPr>
      </w:pPr>
      <w:r w:rsidRPr="00970C6B">
        <w:rPr>
          <w:b/>
          <w:bCs/>
        </w:rPr>
        <w:t>4. Kabul</w:t>
      </w:r>
    </w:p>
    <w:p w:rsidR="00970C6B" w:rsidRPr="00970C6B" w:rsidRDefault="00970C6B" w:rsidP="00970C6B">
      <w:pPr>
        <w:jc w:val="both"/>
        <w:rPr>
          <w:b/>
          <w:bCs/>
        </w:rPr>
      </w:pPr>
      <w:bookmarkStart w:id="2" w:name="_Toc117747746"/>
      <w:r>
        <w:rPr>
          <w:b/>
          <w:bCs/>
        </w:rPr>
        <w:t>5</w:t>
      </w:r>
      <w:r w:rsidRPr="00970C6B">
        <w:rPr>
          <w:b/>
          <w:bCs/>
        </w:rPr>
        <w:t>. Düzenli Gözden Geçirme</w:t>
      </w:r>
    </w:p>
    <w:p w:rsidR="00970C6B" w:rsidRPr="00970C6B" w:rsidRDefault="00970C6B" w:rsidP="00970C6B">
      <w:pPr>
        <w:jc w:val="both"/>
        <w:rPr>
          <w:b/>
        </w:rPr>
      </w:pPr>
      <w:bookmarkStart w:id="3" w:name="_Toc223795759"/>
      <w:bookmarkStart w:id="4" w:name="_Toc223796448"/>
      <w:bookmarkStart w:id="5" w:name="_Toc224301380"/>
      <w:bookmarkStart w:id="6" w:name="_Toc224301847"/>
      <w:bookmarkStart w:id="7" w:name="_Toc224302176"/>
      <w:bookmarkStart w:id="8" w:name="_Toc257909785"/>
      <w:bookmarkStart w:id="9" w:name="_Toc257909906"/>
      <w:bookmarkStart w:id="10" w:name="_Toc257911633"/>
      <w:bookmarkStart w:id="11" w:name="_Toc377562863"/>
      <w:bookmarkStart w:id="12" w:name="_Toc377562989"/>
      <w:bookmarkStart w:id="13" w:name="_Toc377563239"/>
      <w:bookmarkEnd w:id="2"/>
      <w:bookmarkEnd w:id="3"/>
      <w:bookmarkEnd w:id="4"/>
      <w:bookmarkEnd w:id="5"/>
      <w:bookmarkEnd w:id="6"/>
      <w:bookmarkEnd w:id="7"/>
      <w:bookmarkEnd w:id="8"/>
      <w:bookmarkEnd w:id="9"/>
      <w:bookmarkEnd w:id="10"/>
      <w:bookmarkEnd w:id="11"/>
      <w:bookmarkEnd w:id="12"/>
      <w:bookmarkEnd w:id="13"/>
      <w:r w:rsidRPr="00970C6B">
        <w:rPr>
          <w:b/>
        </w:rPr>
        <w:t>Standartların Tadil ve Revizyonu</w:t>
      </w:r>
    </w:p>
    <w:p w:rsidR="00970C6B" w:rsidRPr="00970C6B" w:rsidRDefault="00970C6B" w:rsidP="00970C6B">
      <w:pPr>
        <w:jc w:val="both"/>
      </w:pPr>
    </w:p>
    <w:p w:rsidR="00970C6B" w:rsidRPr="00970C6B" w:rsidRDefault="00970C6B" w:rsidP="00970C6B">
      <w:pPr>
        <w:rPr>
          <w:b/>
          <w:i/>
        </w:rPr>
      </w:pPr>
      <w:r w:rsidRPr="00970C6B">
        <w:rPr>
          <w:b/>
          <w:i/>
        </w:rPr>
        <w:t>“STANDARTLAR YAŞAYAN BELGELERDİR”</w:t>
      </w:r>
    </w:p>
    <w:p w:rsidR="00970C6B" w:rsidRPr="00970C6B" w:rsidRDefault="00970C6B" w:rsidP="00970C6B">
      <w:pPr>
        <w:spacing w:before="120"/>
        <w:jc w:val="both"/>
      </w:pPr>
      <w:r w:rsidRPr="00970C6B">
        <w:t xml:space="preserve">Standartların en önemli özelliği, </w:t>
      </w:r>
      <w:r w:rsidRPr="00970C6B">
        <w:rPr>
          <w:b/>
          <w:bCs/>
        </w:rPr>
        <w:t>değişen koşullara</w:t>
      </w:r>
      <w:r w:rsidRPr="00970C6B">
        <w:t xml:space="preserve"> ve </w:t>
      </w:r>
      <w:r w:rsidRPr="00970C6B">
        <w:rPr>
          <w:b/>
          <w:bCs/>
        </w:rPr>
        <w:t>gelişen teknolojiye</w:t>
      </w:r>
      <w:r w:rsidRPr="00970C6B">
        <w:t xml:space="preserve"> ayak uydurabilme özelliğinde olmalarıdır. Bu nedenle, gerek uygulama sonucu ortaya çıkan aksaklıklar gerekse kaynak yayınlarda meydana gelen değişiklikler ile teknolojik gelişmeler nedeniyle standartlar </w:t>
      </w:r>
      <w:r w:rsidRPr="00970C6B">
        <w:rPr>
          <w:b/>
          <w:bCs/>
        </w:rPr>
        <w:t>REVİZYON</w:t>
      </w:r>
      <w:r w:rsidRPr="00970C6B">
        <w:t xml:space="preserve"> veya </w:t>
      </w:r>
      <w:r w:rsidRPr="00970C6B">
        <w:rPr>
          <w:b/>
          <w:bCs/>
        </w:rPr>
        <w:t>TADİL</w:t>
      </w:r>
      <w:r w:rsidRPr="00970C6B">
        <w:t xml:space="preserve"> edilerek güncelleştirilebilmektedir. </w:t>
      </w:r>
    </w:p>
    <w:p w:rsidR="00970C6B" w:rsidRPr="00970C6B" w:rsidRDefault="00970C6B" w:rsidP="00970C6B">
      <w:pPr>
        <w:spacing w:before="120"/>
        <w:jc w:val="both"/>
      </w:pPr>
      <w:r w:rsidRPr="00970C6B">
        <w:t>Revizyon, standardın yeniden ele alınarak yeni standart gibi aynı işlemlerden geçirilerek yeniden hazırlanma işlemidir. Tadil ise, uygulama sırasında fark edilen ve esasla ilgili olmayan yazım hataları gibi hataların düzeltilmesi işlemi olup, ilgili İhtisas Grubunun teklifi ve Teknik Kurulun onayı ile gerçekleştirilir.</w:t>
      </w:r>
    </w:p>
    <w:p w:rsidR="00970C6B" w:rsidRPr="00970C6B" w:rsidRDefault="00970C6B" w:rsidP="00970C6B">
      <w:pPr>
        <w:pStyle w:val="Balk4"/>
        <w:rPr>
          <w:rFonts w:asciiTheme="minorHAnsi" w:hAnsiTheme="minorHAnsi"/>
          <w:sz w:val="22"/>
          <w:szCs w:val="22"/>
        </w:rPr>
      </w:pPr>
      <w:bookmarkStart w:id="14" w:name="_Toc377562864"/>
      <w:bookmarkStart w:id="15" w:name="_Toc377562990"/>
      <w:bookmarkStart w:id="16" w:name="_Toc377563240"/>
      <w:proofErr w:type="spellStart"/>
      <w:r w:rsidRPr="00970C6B">
        <w:rPr>
          <w:rFonts w:asciiTheme="minorHAnsi" w:hAnsiTheme="minorHAnsi"/>
          <w:sz w:val="22"/>
          <w:szCs w:val="22"/>
        </w:rPr>
        <w:t>Standartların</w:t>
      </w:r>
      <w:proofErr w:type="spellEnd"/>
      <w:r w:rsidRPr="00970C6B">
        <w:rPr>
          <w:rFonts w:asciiTheme="minorHAnsi" w:hAnsiTheme="minorHAnsi"/>
          <w:sz w:val="22"/>
          <w:szCs w:val="22"/>
        </w:rPr>
        <w:t xml:space="preserve"> </w:t>
      </w:r>
      <w:proofErr w:type="spellStart"/>
      <w:r w:rsidRPr="00970C6B">
        <w:rPr>
          <w:rFonts w:asciiTheme="minorHAnsi" w:hAnsiTheme="minorHAnsi"/>
          <w:sz w:val="22"/>
          <w:szCs w:val="22"/>
        </w:rPr>
        <w:t>Sınıflandırılması</w:t>
      </w:r>
      <w:bookmarkEnd w:id="14"/>
      <w:bookmarkEnd w:id="15"/>
      <w:bookmarkEnd w:id="16"/>
      <w:proofErr w:type="spellEnd"/>
    </w:p>
    <w:p w:rsidR="00970C6B" w:rsidRPr="00970C6B" w:rsidRDefault="00970C6B" w:rsidP="00970C6B">
      <w:r w:rsidRPr="00970C6B">
        <w:t>Yukarıdaki şekilde hazırlanan standartlar, yapılarına, uygulama alanlarına ve uygulanma şekillerine göre üç ana başlık altında toplanır:</w:t>
      </w:r>
    </w:p>
    <w:p w:rsidR="00970C6B" w:rsidRPr="00970C6B" w:rsidRDefault="00970C6B" w:rsidP="00970C6B">
      <w:pPr>
        <w:spacing w:before="120"/>
        <w:rPr>
          <w:b/>
        </w:rPr>
      </w:pPr>
      <w:r w:rsidRPr="00970C6B">
        <w:rPr>
          <w:b/>
        </w:rPr>
        <w:t>Yapılarına göre standartlar:</w:t>
      </w:r>
    </w:p>
    <w:p w:rsidR="00970C6B" w:rsidRPr="00970C6B" w:rsidRDefault="00970C6B" w:rsidP="00970C6B">
      <w:pPr>
        <w:numPr>
          <w:ilvl w:val="0"/>
          <w:numId w:val="1"/>
        </w:numPr>
        <w:spacing w:before="120" w:after="0" w:line="240" w:lineRule="auto"/>
      </w:pPr>
      <w:r w:rsidRPr="00970C6B">
        <w:t xml:space="preserve">Madde standartları, </w:t>
      </w:r>
      <w:r w:rsidRPr="00970C6B">
        <w:rPr>
          <w:i/>
        </w:rPr>
        <w:t>maden cevheri gibi maddelerin standardı</w:t>
      </w:r>
    </w:p>
    <w:p w:rsidR="00970C6B" w:rsidRPr="00970C6B" w:rsidRDefault="00970C6B" w:rsidP="00970C6B">
      <w:pPr>
        <w:numPr>
          <w:ilvl w:val="0"/>
          <w:numId w:val="1"/>
        </w:numPr>
        <w:spacing w:before="120" w:after="0" w:line="240" w:lineRule="auto"/>
      </w:pPr>
      <w:r w:rsidRPr="00970C6B">
        <w:t xml:space="preserve">Ürün (Mamul) standartları, </w:t>
      </w:r>
      <w:r w:rsidRPr="00970C6B">
        <w:rPr>
          <w:i/>
        </w:rPr>
        <w:t>her türlü malzeme ve tarımsal ürün standardı</w:t>
      </w:r>
    </w:p>
    <w:p w:rsidR="00970C6B" w:rsidRPr="00970C6B" w:rsidRDefault="00970C6B" w:rsidP="00970C6B">
      <w:pPr>
        <w:numPr>
          <w:ilvl w:val="0"/>
          <w:numId w:val="1"/>
        </w:numPr>
        <w:spacing w:before="120" w:after="0" w:line="240" w:lineRule="auto"/>
      </w:pPr>
      <w:r w:rsidRPr="00970C6B">
        <w:t xml:space="preserve">Yöntem standartları, </w:t>
      </w:r>
      <w:r w:rsidRPr="00970C6B">
        <w:rPr>
          <w:i/>
        </w:rPr>
        <w:t>Bir özelliğin ölçülmesini belirleyen deney yöntemleri</w:t>
      </w:r>
    </w:p>
    <w:p w:rsidR="00970C6B" w:rsidRPr="00970C6B" w:rsidRDefault="00970C6B" w:rsidP="00970C6B">
      <w:pPr>
        <w:numPr>
          <w:ilvl w:val="0"/>
          <w:numId w:val="1"/>
        </w:numPr>
        <w:spacing w:before="120" w:after="0" w:line="240" w:lineRule="auto"/>
      </w:pPr>
      <w:r w:rsidRPr="00970C6B">
        <w:t xml:space="preserve">Hizmet standartları, </w:t>
      </w:r>
      <w:r w:rsidRPr="00970C6B">
        <w:rPr>
          <w:i/>
        </w:rPr>
        <w:t>Hastane, pastane, yetkili servisler gibi hizmet sektörünün özelliklerini belirleyen standartlar</w:t>
      </w:r>
    </w:p>
    <w:p w:rsidR="00970C6B" w:rsidRPr="00970C6B" w:rsidRDefault="00970C6B" w:rsidP="00970C6B">
      <w:pPr>
        <w:numPr>
          <w:ilvl w:val="0"/>
          <w:numId w:val="1"/>
        </w:numPr>
        <w:spacing w:before="120" w:after="0" w:line="240" w:lineRule="auto"/>
      </w:pPr>
      <w:r w:rsidRPr="00970C6B">
        <w:t xml:space="preserve">Kural standartları, </w:t>
      </w:r>
      <w:r w:rsidRPr="00970C6B">
        <w:rPr>
          <w:i/>
        </w:rPr>
        <w:t>Can ve mal güvenliği ile ilgili belirli kuralları ortaya koyan standartlar</w:t>
      </w:r>
    </w:p>
    <w:p w:rsidR="00970C6B" w:rsidRPr="00970C6B" w:rsidRDefault="00970C6B" w:rsidP="00970C6B">
      <w:pPr>
        <w:numPr>
          <w:ilvl w:val="0"/>
          <w:numId w:val="1"/>
        </w:numPr>
        <w:spacing w:before="120" w:after="0" w:line="240" w:lineRule="auto"/>
      </w:pPr>
      <w:r w:rsidRPr="00970C6B">
        <w:t xml:space="preserve">Temel standartlar, </w:t>
      </w:r>
      <w:r w:rsidRPr="00970C6B">
        <w:rPr>
          <w:i/>
        </w:rPr>
        <w:t>Birimler, simgeler vb.</w:t>
      </w:r>
    </w:p>
    <w:p w:rsidR="00970C6B" w:rsidRPr="00970C6B" w:rsidRDefault="00970C6B" w:rsidP="00970C6B">
      <w:pPr>
        <w:spacing w:before="120"/>
        <w:rPr>
          <w:b/>
        </w:rPr>
      </w:pPr>
      <w:r w:rsidRPr="00970C6B">
        <w:rPr>
          <w:b/>
        </w:rPr>
        <w:t>Uygulama alanlarına göre standartlar:</w:t>
      </w:r>
    </w:p>
    <w:p w:rsidR="00970C6B" w:rsidRPr="00970C6B" w:rsidRDefault="00970C6B" w:rsidP="00970C6B">
      <w:pPr>
        <w:numPr>
          <w:ilvl w:val="0"/>
          <w:numId w:val="1"/>
        </w:numPr>
        <w:spacing w:before="120" w:after="0" w:line="240" w:lineRule="auto"/>
      </w:pPr>
      <w:r w:rsidRPr="00970C6B">
        <w:t>İşletme standartları</w:t>
      </w:r>
    </w:p>
    <w:p w:rsidR="00970C6B" w:rsidRPr="00970C6B" w:rsidRDefault="00970C6B" w:rsidP="00970C6B">
      <w:pPr>
        <w:numPr>
          <w:ilvl w:val="0"/>
          <w:numId w:val="1"/>
        </w:numPr>
        <w:spacing w:before="120" w:after="0" w:line="240" w:lineRule="auto"/>
      </w:pPr>
      <w:r w:rsidRPr="00970C6B">
        <w:t>Endüstriyel standartlar</w:t>
      </w:r>
    </w:p>
    <w:p w:rsidR="00970C6B" w:rsidRPr="00970C6B" w:rsidRDefault="00970C6B" w:rsidP="00970C6B">
      <w:pPr>
        <w:numPr>
          <w:ilvl w:val="0"/>
          <w:numId w:val="1"/>
        </w:numPr>
        <w:spacing w:before="120" w:after="0" w:line="240" w:lineRule="auto"/>
      </w:pPr>
      <w:r w:rsidRPr="00970C6B">
        <w:lastRenderedPageBreak/>
        <w:t xml:space="preserve">Bölgesel standartlar, </w:t>
      </w:r>
      <w:r w:rsidRPr="00970C6B">
        <w:rPr>
          <w:i/>
        </w:rPr>
        <w:t>Avrupa Birliği ülkelerinde ortak kullanılan EN standartları gibi</w:t>
      </w:r>
    </w:p>
    <w:p w:rsidR="00970C6B" w:rsidRPr="00970C6B" w:rsidRDefault="00970C6B" w:rsidP="00970C6B">
      <w:pPr>
        <w:numPr>
          <w:ilvl w:val="0"/>
          <w:numId w:val="1"/>
        </w:numPr>
        <w:spacing w:before="120" w:after="0" w:line="240" w:lineRule="auto"/>
      </w:pPr>
      <w:r w:rsidRPr="00970C6B">
        <w:t xml:space="preserve">Ulusal Standartlar, </w:t>
      </w:r>
      <w:r w:rsidRPr="00970C6B">
        <w:rPr>
          <w:i/>
        </w:rPr>
        <w:t>TS, DIN, ASTM vb.</w:t>
      </w:r>
    </w:p>
    <w:p w:rsidR="00970C6B" w:rsidRPr="00970C6B" w:rsidRDefault="00970C6B" w:rsidP="00970C6B">
      <w:pPr>
        <w:numPr>
          <w:ilvl w:val="0"/>
          <w:numId w:val="1"/>
        </w:numPr>
        <w:spacing w:before="120" w:after="0" w:line="240" w:lineRule="auto"/>
      </w:pPr>
      <w:r w:rsidRPr="00970C6B">
        <w:t xml:space="preserve">Uluslararası standartlar, </w:t>
      </w:r>
      <w:r w:rsidRPr="00970C6B">
        <w:rPr>
          <w:i/>
        </w:rPr>
        <w:t>ISO standartları</w:t>
      </w:r>
    </w:p>
    <w:p w:rsidR="00970C6B" w:rsidRPr="00970C6B" w:rsidRDefault="00970C6B" w:rsidP="00970C6B">
      <w:pPr>
        <w:spacing w:before="120"/>
        <w:ind w:left="720"/>
      </w:pPr>
    </w:p>
    <w:p w:rsidR="00970C6B" w:rsidRPr="00970C6B" w:rsidRDefault="00970C6B" w:rsidP="00970C6B">
      <w:pPr>
        <w:tabs>
          <w:tab w:val="left" w:pos="709"/>
          <w:tab w:val="left" w:pos="1134"/>
        </w:tabs>
        <w:rPr>
          <w:b/>
        </w:rPr>
      </w:pPr>
      <w:r w:rsidRPr="00970C6B">
        <w:rPr>
          <w:b/>
        </w:rPr>
        <w:t>Uygulanma şekillerine göre standartlar:</w:t>
      </w:r>
    </w:p>
    <w:p w:rsidR="00970C6B" w:rsidRPr="00970C6B" w:rsidRDefault="00970C6B" w:rsidP="00970C6B">
      <w:pPr>
        <w:numPr>
          <w:ilvl w:val="0"/>
          <w:numId w:val="1"/>
        </w:numPr>
        <w:spacing w:before="120" w:after="0" w:line="240" w:lineRule="auto"/>
      </w:pPr>
      <w:r w:rsidRPr="00970C6B">
        <w:t>Zorunlu standartlar</w:t>
      </w:r>
    </w:p>
    <w:p w:rsidR="00970C6B" w:rsidRPr="00970C6B" w:rsidRDefault="00970C6B" w:rsidP="00970C6B">
      <w:pPr>
        <w:numPr>
          <w:ilvl w:val="0"/>
          <w:numId w:val="1"/>
        </w:numPr>
        <w:spacing w:before="120" w:after="0" w:line="240" w:lineRule="auto"/>
      </w:pPr>
      <w:r w:rsidRPr="00970C6B">
        <w:t>İsteğe bağlı (ihtiyari) standartlar</w:t>
      </w:r>
    </w:p>
    <w:p w:rsidR="00970C6B" w:rsidRPr="00970C6B" w:rsidRDefault="00970C6B" w:rsidP="00970C6B">
      <w:bookmarkStart w:id="17" w:name="_GoBack"/>
      <w:bookmarkEnd w:id="17"/>
    </w:p>
    <w:sectPr w:rsidR="00970C6B" w:rsidRPr="00970C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5642330"/>
    <w:lvl w:ilvl="0">
      <w:numFmt w:val="decimal"/>
      <w:lvlText w:val="*"/>
      <w:lvlJc w:val="left"/>
      <w:rPr>
        <w:rFonts w:cs="Times New Roman"/>
      </w:rPr>
    </w:lvl>
  </w:abstractNum>
  <w:abstractNum w:abstractNumId="1" w15:restartNumberingAfterBreak="0">
    <w:nsid w:val="2F7C7136"/>
    <w:multiLevelType w:val="hybridMultilevel"/>
    <w:tmpl w:val="F2C4F3A2"/>
    <w:lvl w:ilvl="0" w:tplc="180E40B8">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Arial" w:hAnsi="Arial" w:hint="default"/>
          <w:sz w:val="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E1"/>
    <w:rsid w:val="007C61FD"/>
    <w:rsid w:val="00970C6B"/>
    <w:rsid w:val="00B6336C"/>
    <w:rsid w:val="00F80B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6F474-F2D9-48F3-B244-87BE530A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9"/>
    <w:qFormat/>
    <w:rsid w:val="00970C6B"/>
    <w:pPr>
      <w:keepNext/>
      <w:spacing w:after="0" w:line="360" w:lineRule="auto"/>
      <w:jc w:val="center"/>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uiPriority w:val="9"/>
    <w:semiHidden/>
    <w:unhideWhenUsed/>
    <w:qFormat/>
    <w:rsid w:val="00970C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9"/>
    <w:qFormat/>
    <w:rsid w:val="00970C6B"/>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970C6B"/>
    <w:rPr>
      <w:rFonts w:ascii="Times New Roman" w:eastAsia="Times New Roman" w:hAnsi="Times New Roman" w:cs="Times New Roman"/>
      <w:b/>
      <w:bCs/>
      <w:sz w:val="24"/>
      <w:szCs w:val="24"/>
    </w:rPr>
  </w:style>
  <w:style w:type="character" w:customStyle="1" w:styleId="Balk4Char">
    <w:name w:val="Başlık 4 Char"/>
    <w:basedOn w:val="VarsaylanParagrafYazTipi"/>
    <w:link w:val="Balk4"/>
    <w:uiPriority w:val="99"/>
    <w:rsid w:val="00970C6B"/>
    <w:rPr>
      <w:rFonts w:ascii="Times New Roman" w:eastAsia="Times New Roman" w:hAnsi="Times New Roman" w:cs="Times New Roman"/>
      <w:b/>
      <w:bCs/>
      <w:sz w:val="28"/>
      <w:szCs w:val="28"/>
      <w:lang w:val="en-US"/>
    </w:rPr>
  </w:style>
  <w:style w:type="paragraph" w:customStyle="1" w:styleId="Stil3">
    <w:name w:val="Stil3"/>
    <w:basedOn w:val="Balk3"/>
    <w:autoRedefine/>
    <w:uiPriority w:val="99"/>
    <w:rsid w:val="00970C6B"/>
    <w:pPr>
      <w:keepLines w:val="0"/>
      <w:tabs>
        <w:tab w:val="left" w:pos="800"/>
      </w:tabs>
      <w:spacing w:before="0" w:line="240" w:lineRule="auto"/>
    </w:pPr>
    <w:rPr>
      <w:rFonts w:ascii="Times New Roman" w:eastAsia="Times New Roman" w:hAnsi="Times New Roman" w:cs="Times New Roman"/>
      <w:b/>
      <w:bCs/>
      <w:color w:val="auto"/>
      <w:lang w:eastAsia="tr-TR"/>
    </w:rPr>
  </w:style>
  <w:style w:type="character" w:customStyle="1" w:styleId="Balk3Char">
    <w:name w:val="Başlık 3 Char"/>
    <w:basedOn w:val="VarsaylanParagrafYazTipi"/>
    <w:link w:val="Balk3"/>
    <w:uiPriority w:val="9"/>
    <w:semiHidden/>
    <w:rsid w:val="00970C6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3</cp:revision>
  <dcterms:created xsi:type="dcterms:W3CDTF">2018-09-14T13:11:00Z</dcterms:created>
  <dcterms:modified xsi:type="dcterms:W3CDTF">2018-09-14T13:18:00Z</dcterms:modified>
</cp:coreProperties>
</file>