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A2" w:rsidRPr="00DB298B" w:rsidRDefault="00B9598B" w:rsidP="00B9598B">
      <w:pPr>
        <w:spacing w:after="0" w:line="240" w:lineRule="auto"/>
        <w:rPr>
          <w:rFonts w:ascii="Verdana" w:hAnsi="Verdana"/>
          <w:b/>
          <w:sz w:val="16"/>
          <w:szCs w:val="16"/>
        </w:rPr>
      </w:pPr>
      <w:r w:rsidRPr="00DB298B">
        <w:rPr>
          <w:rFonts w:ascii="Verdana" w:hAnsi="Verdana"/>
          <w:b/>
          <w:sz w:val="16"/>
          <w:szCs w:val="16"/>
        </w:rPr>
        <w:t xml:space="preserve">Konu </w:t>
      </w:r>
      <w:r w:rsidR="00906021">
        <w:rPr>
          <w:rFonts w:ascii="Verdana" w:hAnsi="Verdana"/>
          <w:b/>
          <w:sz w:val="16"/>
          <w:szCs w:val="16"/>
        </w:rPr>
        <w:t>2</w:t>
      </w:r>
    </w:p>
    <w:p w:rsidR="00B9598B" w:rsidRPr="00DB298B" w:rsidRDefault="008E1EF8" w:rsidP="008E1EF8">
      <w:pPr>
        <w:spacing w:after="0" w:line="240" w:lineRule="auto"/>
        <w:rPr>
          <w:rFonts w:ascii="Verdana" w:hAnsi="Verdana"/>
          <w:b/>
          <w:sz w:val="16"/>
          <w:szCs w:val="16"/>
        </w:rPr>
      </w:pPr>
      <w:r w:rsidRPr="00DB298B">
        <w:rPr>
          <w:rFonts w:ascii="Verdana" w:hAnsi="Verdana"/>
          <w:b/>
          <w:sz w:val="16"/>
          <w:szCs w:val="16"/>
        </w:rPr>
        <w:t>Kimyasal Analizde Hatalar</w:t>
      </w:r>
    </w:p>
    <w:p w:rsidR="00B9598B" w:rsidRPr="00DB298B" w:rsidRDefault="00B9598B" w:rsidP="00B9598B">
      <w:pPr>
        <w:spacing w:after="0" w:line="240" w:lineRule="auto"/>
        <w:rPr>
          <w:rFonts w:ascii="Verdana" w:hAnsi="Verdana"/>
          <w:sz w:val="16"/>
          <w:szCs w:val="16"/>
        </w:rPr>
      </w:pPr>
    </w:p>
    <w:p w:rsidR="00DB298B" w:rsidRPr="00DB298B" w:rsidRDefault="00DB298B" w:rsidP="00906021">
      <w:pPr>
        <w:snapToGrid w:val="0"/>
        <w:spacing w:before="60" w:after="60"/>
        <w:jc w:val="both"/>
        <w:rPr>
          <w:rFonts w:ascii="Verdana" w:hAnsi="Verdana"/>
          <w:sz w:val="16"/>
          <w:szCs w:val="16"/>
        </w:rPr>
      </w:pPr>
      <w:r w:rsidRPr="00DB298B">
        <w:rPr>
          <w:rFonts w:ascii="Verdana" w:hAnsi="Verdana"/>
          <w:b/>
          <w:sz w:val="16"/>
          <w:szCs w:val="16"/>
        </w:rPr>
        <w:t>Hata</w:t>
      </w:r>
      <w:r w:rsidRPr="00DB298B">
        <w:rPr>
          <w:rFonts w:ascii="Verdana" w:hAnsi="Verdana"/>
          <w:sz w:val="16"/>
          <w:szCs w:val="16"/>
        </w:rPr>
        <w:t xml:space="preserve">, bir analiz işlemi sonucu elde edilen ölçüm ile ölçülen büyüklüğün gerçek değeri arasındaki farktır. Ayrıca bir analitik işlemin tahmin edilen belirsizliğini ifade etmek için de </w:t>
      </w:r>
      <w:r w:rsidRPr="00DB298B">
        <w:rPr>
          <w:rFonts w:ascii="Verdana" w:hAnsi="Verdana"/>
          <w:b/>
          <w:sz w:val="16"/>
          <w:szCs w:val="16"/>
        </w:rPr>
        <w:t>hata</w:t>
      </w:r>
      <w:r w:rsidRPr="00DB298B">
        <w:rPr>
          <w:rFonts w:ascii="Verdana" w:hAnsi="Verdana"/>
          <w:sz w:val="16"/>
          <w:szCs w:val="16"/>
        </w:rPr>
        <w:t xml:space="preserve"> terimi kullanılır.</w:t>
      </w:r>
    </w:p>
    <w:p w:rsidR="00DB298B" w:rsidRPr="00DB298B" w:rsidRDefault="00DB298B" w:rsidP="00DB298B">
      <w:pPr>
        <w:snapToGrid w:val="0"/>
        <w:spacing w:before="60" w:after="60"/>
        <w:rPr>
          <w:rFonts w:ascii="Verdana" w:hAnsi="Verdana"/>
          <w:sz w:val="16"/>
          <w:szCs w:val="16"/>
        </w:rPr>
      </w:pPr>
    </w:p>
    <w:p w:rsidR="00DB298B" w:rsidRPr="00DB298B" w:rsidRDefault="00DB298B" w:rsidP="00906021">
      <w:pPr>
        <w:snapToGrid w:val="0"/>
        <w:spacing w:before="60" w:after="60"/>
        <w:jc w:val="both"/>
        <w:rPr>
          <w:rFonts w:ascii="Verdana" w:hAnsi="Verdana"/>
          <w:sz w:val="16"/>
          <w:szCs w:val="16"/>
        </w:rPr>
      </w:pPr>
      <w:r w:rsidRPr="00DB298B">
        <w:rPr>
          <w:rFonts w:ascii="Verdana" w:hAnsi="Verdana"/>
          <w:sz w:val="16"/>
          <w:szCs w:val="16"/>
        </w:rPr>
        <w:t xml:space="preserve">Bir analitik yöntemde yapılan hatayı belirlemek ve sonuçların geçerliliği hakkında bilgi sahibi olmak için hiçbir zaman tek bir analiz sonucuyla yetinilmez. Bir analitik yöntem daima en az iki veya daha fazla sayıdaki </w:t>
      </w:r>
      <w:r w:rsidRPr="00DB298B">
        <w:rPr>
          <w:rFonts w:ascii="Verdana" w:hAnsi="Verdana"/>
          <w:b/>
          <w:sz w:val="16"/>
          <w:szCs w:val="16"/>
        </w:rPr>
        <w:t>tekrar numunelerinin</w:t>
      </w:r>
      <w:r w:rsidRPr="00DB298B">
        <w:rPr>
          <w:rFonts w:ascii="Verdana" w:hAnsi="Verdana"/>
          <w:sz w:val="16"/>
          <w:szCs w:val="16"/>
        </w:rPr>
        <w:t xml:space="preserve"> analizini kullanır. Tekrar numunelerinin analiz sonuçlarının </w:t>
      </w:r>
      <w:r w:rsidRPr="00DB298B">
        <w:rPr>
          <w:rFonts w:ascii="Verdana" w:hAnsi="Verdana"/>
          <w:b/>
          <w:sz w:val="16"/>
          <w:szCs w:val="16"/>
        </w:rPr>
        <w:t>ortalama</w:t>
      </w:r>
      <w:r w:rsidRPr="00DB298B">
        <w:rPr>
          <w:rFonts w:ascii="Verdana" w:hAnsi="Verdana"/>
          <w:sz w:val="16"/>
          <w:szCs w:val="16"/>
        </w:rPr>
        <w:t xml:space="preserve">sı veya </w:t>
      </w:r>
      <w:r w:rsidRPr="00DB298B">
        <w:rPr>
          <w:rFonts w:ascii="Verdana" w:hAnsi="Verdana"/>
          <w:b/>
          <w:sz w:val="16"/>
          <w:szCs w:val="16"/>
        </w:rPr>
        <w:t>ortanca</w:t>
      </w:r>
      <w:r w:rsidRPr="00DB298B">
        <w:rPr>
          <w:rFonts w:ascii="Verdana" w:hAnsi="Verdana"/>
          <w:sz w:val="16"/>
          <w:szCs w:val="16"/>
        </w:rPr>
        <w:t xml:space="preserve"> değeri sonuç olarak verilir. Ortalama değer </w:t>
      </w:r>
      <m:oMath>
        <m:acc>
          <m:accPr>
            <m:chr m:val="̅"/>
            <m:ctrlPr>
              <w:rPr>
                <w:rFonts w:ascii="Cambria Math" w:hAnsi="Cambria Math"/>
                <w:i/>
                <w:sz w:val="16"/>
                <w:szCs w:val="16"/>
              </w:rPr>
            </m:ctrlPr>
          </m:accPr>
          <m:e>
            <m:r>
              <w:rPr>
                <w:rFonts w:ascii="Cambria Math" w:hAnsi="Cambria Math"/>
                <w:sz w:val="16"/>
                <w:szCs w:val="16"/>
              </w:rPr>
              <m:t>x</m:t>
            </m:r>
          </m:e>
        </m:acc>
      </m:oMath>
      <w:r w:rsidRPr="00DB298B">
        <w:rPr>
          <w:rFonts w:ascii="Verdana" w:hAnsi="Verdana"/>
          <w:sz w:val="16"/>
          <w:szCs w:val="16"/>
        </w:rPr>
        <w:t xml:space="preserve"> ile simgelenir ve aşağıdaki eşitlik kullanılarak hesaplanır.</w:t>
      </w:r>
    </w:p>
    <w:p w:rsidR="00DB298B" w:rsidRPr="00DB298B" w:rsidRDefault="00BA7E1F" w:rsidP="00DB298B">
      <w:pPr>
        <w:snapToGrid w:val="0"/>
        <w:spacing w:before="60" w:after="60"/>
        <w:rPr>
          <w:rFonts w:ascii="Verdana" w:hAnsi="Verdana"/>
          <w:sz w:val="16"/>
          <w:szCs w:val="16"/>
        </w:rPr>
      </w:pPr>
      <m:oMathPara>
        <m:oMath>
          <m:acc>
            <m:accPr>
              <m:chr m:val="̅"/>
              <m:ctrlPr>
                <w:rPr>
                  <w:rFonts w:ascii="Cambria Math" w:hAnsi="Cambria Math"/>
                  <w:sz w:val="16"/>
                  <w:szCs w:val="16"/>
                </w:rPr>
              </m:ctrlPr>
            </m:accPr>
            <m:e>
              <m:r>
                <w:rPr>
                  <w:rFonts w:ascii="Cambria Math" w:hAnsi="Cambria Math"/>
                  <w:sz w:val="16"/>
                  <w:szCs w:val="16"/>
                </w:rPr>
                <m:t>x</m:t>
              </m:r>
            </m:e>
          </m:acc>
          <m:r>
            <w:rPr>
              <w:rFonts w:ascii="Cambria Math" w:hAnsi="Cambria Math"/>
              <w:sz w:val="16"/>
              <w:szCs w:val="16"/>
            </w:rPr>
            <m:t>=</m:t>
          </m:r>
          <m:f>
            <m:fPr>
              <m:ctrlPr>
                <w:rPr>
                  <w:rFonts w:ascii="Cambria Math" w:hAnsi="Cambria Math"/>
                  <w:sz w:val="16"/>
                  <w:szCs w:val="16"/>
                </w:rPr>
              </m:ctrlPr>
            </m:fPr>
            <m:num>
              <m:nary>
                <m:naryPr>
                  <m:chr m:val="∑"/>
                  <m:ctrlPr>
                    <w:rPr>
                      <w:rFonts w:ascii="Cambria Math" w:hAnsi="Cambria Math"/>
                      <w:sz w:val="16"/>
                      <w:szCs w:val="16"/>
                    </w:rPr>
                  </m:ctrlPr>
                </m:naryPr>
                <m:sub>
                  <m:r>
                    <w:rPr>
                      <w:rFonts w:ascii="Cambria Math" w:hAnsi="Cambria Math"/>
                      <w:sz w:val="16"/>
                      <w:szCs w:val="16"/>
                    </w:rPr>
                    <m:t>i=1</m:t>
                  </m:r>
                </m:sub>
                <m:sup>
                  <m:r>
                    <w:rPr>
                      <w:rFonts w:ascii="Cambria Math" w:hAnsi="Cambria Math"/>
                      <w:sz w:val="16"/>
                      <w:szCs w:val="16"/>
                    </w:rPr>
                    <m:t>N</m:t>
                  </m:r>
                </m:sup>
                <m:e>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i</m:t>
                      </m:r>
                    </m:sub>
                  </m:sSub>
                </m:e>
              </m:nary>
            </m:num>
            <m:den>
              <m:r>
                <w:rPr>
                  <w:rFonts w:ascii="Cambria Math" w:hAnsi="Cambria Math"/>
                  <w:sz w:val="16"/>
                  <w:szCs w:val="16"/>
                </w:rPr>
                <m:t>N</m:t>
              </m:r>
            </m:den>
          </m:f>
        </m:oMath>
      </m:oMathPara>
    </w:p>
    <w:p w:rsidR="00DB298B" w:rsidRPr="00DB298B" w:rsidRDefault="00DB298B" w:rsidP="00906021">
      <w:pPr>
        <w:snapToGrid w:val="0"/>
        <w:spacing w:before="60" w:after="60"/>
        <w:jc w:val="both"/>
        <w:rPr>
          <w:rFonts w:ascii="Verdana" w:hAnsi="Verdana"/>
          <w:sz w:val="16"/>
          <w:szCs w:val="16"/>
        </w:rPr>
      </w:pPr>
      <w:r w:rsidRPr="00DB298B">
        <w:rPr>
          <w:rFonts w:ascii="Verdana" w:hAnsi="Verdana"/>
          <w:sz w:val="16"/>
          <w:szCs w:val="16"/>
        </w:rPr>
        <w:t>Ortanca ise, analitik sonuçlar küçükten büyüğe sıralandığında ortada yer alan veya çift sayıdaki sonuç durumunda, ortadaki iki sonucun ortalamasıdır.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sz w:val="16"/>
          <w:szCs w:val="16"/>
        </w:rPr>
      </w:pPr>
      <w:r w:rsidRPr="00DB298B">
        <w:rPr>
          <w:rFonts w:ascii="Verdana" w:hAnsi="Verdana"/>
          <w:sz w:val="16"/>
          <w:szCs w:val="16"/>
        </w:rPr>
        <w:t xml:space="preserve">Bir analitik yöntemin sonuçlarının güvenilirliği konusunda genelde kullanılan iki kavram vardır. Bunlar </w:t>
      </w:r>
      <w:r w:rsidRPr="00DB298B">
        <w:rPr>
          <w:rFonts w:ascii="Verdana" w:hAnsi="Verdana"/>
          <w:b/>
          <w:sz w:val="16"/>
          <w:szCs w:val="16"/>
        </w:rPr>
        <w:t>kesinlik</w:t>
      </w:r>
      <w:r w:rsidRPr="00DB298B">
        <w:rPr>
          <w:rFonts w:ascii="Verdana" w:hAnsi="Verdana"/>
          <w:sz w:val="16"/>
          <w:szCs w:val="16"/>
        </w:rPr>
        <w:t xml:space="preserve"> ve </w:t>
      </w:r>
      <w:r w:rsidRPr="00DB298B">
        <w:rPr>
          <w:rFonts w:ascii="Verdana" w:hAnsi="Verdana"/>
          <w:b/>
          <w:sz w:val="16"/>
          <w:szCs w:val="16"/>
        </w:rPr>
        <w:t>doğruluk</w:t>
      </w:r>
      <w:r w:rsidRPr="00DB298B">
        <w:rPr>
          <w:rFonts w:ascii="Verdana" w:hAnsi="Verdana"/>
          <w:sz w:val="16"/>
          <w:szCs w:val="16"/>
        </w:rPr>
        <w:t xml:space="preserve"> kavramlarıdır.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b/>
          <w:sz w:val="16"/>
          <w:szCs w:val="16"/>
        </w:rPr>
      </w:pPr>
      <w:r w:rsidRPr="00DB298B">
        <w:rPr>
          <w:rFonts w:ascii="Verdana" w:hAnsi="Verdana"/>
          <w:b/>
          <w:sz w:val="16"/>
          <w:szCs w:val="16"/>
        </w:rPr>
        <w:t>Kesinlik</w:t>
      </w:r>
    </w:p>
    <w:p w:rsidR="00DB298B" w:rsidRPr="00DB298B" w:rsidRDefault="00DB298B" w:rsidP="00DB298B">
      <w:pPr>
        <w:snapToGrid w:val="0"/>
        <w:spacing w:before="60" w:after="60"/>
        <w:rPr>
          <w:rFonts w:ascii="Verdana" w:hAnsi="Verdana"/>
          <w:sz w:val="16"/>
          <w:szCs w:val="16"/>
        </w:rPr>
      </w:pPr>
      <w:r w:rsidRPr="00DB298B">
        <w:rPr>
          <w:rFonts w:ascii="Verdana" w:hAnsi="Verdana"/>
          <w:sz w:val="16"/>
          <w:szCs w:val="16"/>
        </w:rPr>
        <w:t xml:space="preserve">Kesinlik, tamamen aynı yolla elde edilen ölçüm sonuçlarının birbirine yakınlığının bir ölçüsüdür. Bir veri takımının kesinliğini ifade etmek için standart sapma, </w:t>
      </w:r>
      <w:proofErr w:type="spellStart"/>
      <w:r w:rsidRPr="00DB298B">
        <w:rPr>
          <w:rFonts w:ascii="Verdana" w:hAnsi="Verdana"/>
          <w:sz w:val="16"/>
          <w:szCs w:val="16"/>
        </w:rPr>
        <w:t>varyans</w:t>
      </w:r>
      <w:proofErr w:type="spellEnd"/>
      <w:r w:rsidRPr="00DB298B">
        <w:rPr>
          <w:rFonts w:ascii="Verdana" w:hAnsi="Verdana"/>
          <w:sz w:val="16"/>
          <w:szCs w:val="16"/>
        </w:rPr>
        <w:t xml:space="preserve"> ve varyasyon katsayısı terimleri kullanılır ve bu terimler, her bir ölçüm sonucunun ortalamadan ne kadar saptığını ifade eder. Ortalamadan sapma </w:t>
      </w:r>
      <m:oMath>
        <m:sSub>
          <m:sSubPr>
            <m:ctrlPr>
              <w:rPr>
                <w:rFonts w:ascii="Cambria Math" w:hAnsi="Cambria Math"/>
                <w:sz w:val="16"/>
                <w:szCs w:val="16"/>
              </w:rPr>
            </m:ctrlPr>
          </m:sSubPr>
          <m:e>
            <m:r>
              <w:rPr>
                <w:rFonts w:ascii="Cambria Math" w:hAnsi="Cambria Math"/>
                <w:sz w:val="16"/>
                <w:szCs w:val="16"/>
              </w:rPr>
              <m:t>d</m:t>
            </m:r>
          </m:e>
          <m:sub>
            <m:r>
              <w:rPr>
                <w:rFonts w:ascii="Cambria Math" w:hAnsi="Cambria Math"/>
                <w:sz w:val="16"/>
                <w:szCs w:val="16"/>
              </w:rPr>
              <m:t>i</m:t>
            </m:r>
          </m:sub>
        </m:sSub>
      </m:oMath>
      <w:r w:rsidRPr="00DB298B">
        <w:rPr>
          <w:rFonts w:ascii="Verdana" w:hAnsi="Verdana"/>
          <w:sz w:val="16"/>
          <w:szCs w:val="16"/>
        </w:rPr>
        <w:t xml:space="preserve"> ile ifade edilir.</w:t>
      </w:r>
    </w:p>
    <w:p w:rsidR="00DB298B" w:rsidRPr="00DB298B" w:rsidRDefault="00DB298B" w:rsidP="00DB298B">
      <w:pPr>
        <w:snapToGrid w:val="0"/>
        <w:spacing w:before="60" w:after="60"/>
        <w:rPr>
          <w:rFonts w:ascii="Verdana" w:hAnsi="Verdana"/>
          <w:sz w:val="16"/>
          <w:szCs w:val="16"/>
        </w:rPr>
      </w:pPr>
    </w:p>
    <w:p w:rsidR="00DB298B" w:rsidRPr="00DB298B" w:rsidRDefault="00BA7E1F" w:rsidP="00DB298B">
      <w:pPr>
        <w:snapToGrid w:val="0"/>
        <w:spacing w:before="60" w:after="60"/>
        <w:rPr>
          <w:rFonts w:ascii="Verdana" w:hAnsi="Verdana"/>
          <w:sz w:val="16"/>
          <w:szCs w:val="16"/>
        </w:rPr>
      </w:pPr>
      <m:oMathPara>
        <m:oMath>
          <m:sSub>
            <m:sSubPr>
              <m:ctrlPr>
                <w:rPr>
                  <w:rFonts w:ascii="Cambria Math" w:hAnsi="Cambria Math"/>
                  <w:sz w:val="16"/>
                  <w:szCs w:val="16"/>
                </w:rPr>
              </m:ctrlPr>
            </m:sSubPr>
            <m:e>
              <m:r>
                <w:rPr>
                  <w:rFonts w:ascii="Cambria Math" w:hAnsi="Cambria Math"/>
                  <w:sz w:val="16"/>
                  <w:szCs w:val="16"/>
                </w:rPr>
                <m:t>d</m:t>
              </m:r>
            </m:e>
            <m:sub>
              <m:r>
                <w:rPr>
                  <w:rFonts w:ascii="Cambria Math" w:hAnsi="Cambria Math"/>
                  <w:sz w:val="16"/>
                  <w:szCs w:val="16"/>
                </w:rPr>
                <m:t>i</m:t>
              </m:r>
            </m:sub>
          </m:sSub>
          <m:r>
            <w:rPr>
              <w:rFonts w:ascii="Cambria Math" w:hAnsi="Cambria Math"/>
              <w:sz w:val="16"/>
              <w:szCs w:val="16"/>
            </w:rPr>
            <m:t>=</m:t>
          </m:r>
          <m:d>
            <m:dPr>
              <m:begChr m:val="|"/>
              <m:endChr m:val="|"/>
              <m:ctrlPr>
                <w:rPr>
                  <w:rFonts w:ascii="Cambria Math" w:hAnsi="Cambria Math"/>
                  <w:sz w:val="16"/>
                  <w:szCs w:val="16"/>
                </w:rPr>
              </m:ctrlPr>
            </m:dPr>
            <m:e>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i</m:t>
                  </m:r>
                </m:sub>
              </m:sSub>
              <m:r>
                <w:rPr>
                  <w:rFonts w:ascii="Cambria Math" w:hAnsi="Cambria Math"/>
                  <w:sz w:val="16"/>
                  <w:szCs w:val="16"/>
                </w:rPr>
                <m:t>-</m:t>
              </m:r>
              <m:acc>
                <m:accPr>
                  <m:chr m:val="̅"/>
                  <m:ctrlPr>
                    <w:rPr>
                      <w:rFonts w:ascii="Cambria Math" w:hAnsi="Cambria Math"/>
                      <w:sz w:val="16"/>
                      <w:szCs w:val="16"/>
                    </w:rPr>
                  </m:ctrlPr>
                </m:accPr>
                <m:e>
                  <m:r>
                    <w:rPr>
                      <w:rFonts w:ascii="Cambria Math" w:hAnsi="Cambria Math"/>
                      <w:sz w:val="16"/>
                      <w:szCs w:val="16"/>
                    </w:rPr>
                    <m:t>x</m:t>
                  </m:r>
                </m:e>
              </m:acc>
            </m:e>
          </m:d>
        </m:oMath>
      </m:oMathPara>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b/>
          <w:sz w:val="16"/>
          <w:szCs w:val="16"/>
        </w:rPr>
      </w:pPr>
      <w:r w:rsidRPr="00DB298B">
        <w:rPr>
          <w:rFonts w:ascii="Verdana" w:hAnsi="Verdana"/>
          <w:b/>
          <w:sz w:val="16"/>
          <w:szCs w:val="16"/>
        </w:rPr>
        <w:t>Doğruluk</w:t>
      </w:r>
    </w:p>
    <w:p w:rsidR="00DB298B" w:rsidRPr="00DB298B" w:rsidRDefault="00DB298B" w:rsidP="00DB298B">
      <w:pPr>
        <w:snapToGrid w:val="0"/>
        <w:spacing w:before="60" w:after="60"/>
        <w:rPr>
          <w:rFonts w:ascii="Verdana" w:hAnsi="Verdana"/>
          <w:sz w:val="16"/>
          <w:szCs w:val="16"/>
        </w:rPr>
      </w:pPr>
      <w:r w:rsidRPr="00DB298B">
        <w:rPr>
          <w:rFonts w:ascii="Verdana" w:hAnsi="Verdana"/>
          <w:sz w:val="16"/>
          <w:szCs w:val="16"/>
        </w:rPr>
        <w:t>Doğruluk, analitik yöntemden elde edilen her bir sonucun(</w:t>
      </w:r>
      <m:oMath>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i</m:t>
            </m:r>
          </m:sub>
        </m:sSub>
      </m:oMath>
      <w:r w:rsidRPr="00DB298B">
        <w:rPr>
          <w:rFonts w:ascii="Verdana" w:hAnsi="Verdana"/>
          <w:sz w:val="16"/>
          <w:szCs w:val="16"/>
        </w:rPr>
        <w:t>) doğru değere (</w:t>
      </w:r>
      <m:oMath>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t</m:t>
            </m:r>
          </m:sub>
        </m:sSub>
      </m:oMath>
      <w:r w:rsidRPr="00DB298B">
        <w:rPr>
          <w:rFonts w:ascii="Verdana" w:hAnsi="Verdana"/>
          <w:sz w:val="16"/>
          <w:szCs w:val="16"/>
        </w:rPr>
        <w:t xml:space="preserve">) ve doğru kabul edilen değere yakınlığının bir ölçüsüdür. Doğruluk, </w:t>
      </w:r>
      <w:r w:rsidR="00906021" w:rsidRPr="00906021">
        <w:rPr>
          <w:rFonts w:ascii="Verdana" w:hAnsi="Verdana"/>
          <w:b/>
          <w:sz w:val="16"/>
          <w:szCs w:val="16"/>
        </w:rPr>
        <w:t>mutlak</w:t>
      </w:r>
      <w:r w:rsidRPr="00DB298B">
        <w:rPr>
          <w:rFonts w:ascii="Verdana" w:hAnsi="Verdana"/>
          <w:b/>
          <w:sz w:val="16"/>
          <w:szCs w:val="16"/>
        </w:rPr>
        <w:t xml:space="preserve"> hata</w:t>
      </w:r>
      <w:r w:rsidRPr="00DB298B">
        <w:rPr>
          <w:rFonts w:ascii="Verdana" w:hAnsi="Verdana"/>
          <w:sz w:val="16"/>
          <w:szCs w:val="16"/>
        </w:rPr>
        <w:t xml:space="preserve"> (</w:t>
      </w:r>
      <m:oMath>
        <m:r>
          <w:rPr>
            <w:rFonts w:ascii="Cambria Math" w:hAnsi="Cambria Math"/>
            <w:sz w:val="16"/>
            <w:szCs w:val="16"/>
          </w:rPr>
          <m:t>E</m:t>
        </m:r>
      </m:oMath>
      <w:r w:rsidRPr="00DB298B">
        <w:rPr>
          <w:rFonts w:ascii="Verdana" w:hAnsi="Verdana"/>
          <w:sz w:val="16"/>
          <w:szCs w:val="16"/>
        </w:rPr>
        <w:t xml:space="preserve">) veya </w:t>
      </w:r>
      <w:r w:rsidR="00906021" w:rsidRPr="00906021">
        <w:rPr>
          <w:rFonts w:ascii="Verdana" w:hAnsi="Verdana"/>
          <w:b/>
          <w:sz w:val="16"/>
          <w:szCs w:val="16"/>
        </w:rPr>
        <w:t>bağıl</w:t>
      </w:r>
      <w:r w:rsidRPr="00906021">
        <w:rPr>
          <w:rFonts w:ascii="Verdana" w:hAnsi="Verdana"/>
          <w:b/>
          <w:sz w:val="16"/>
          <w:szCs w:val="16"/>
        </w:rPr>
        <w:t xml:space="preserve"> </w:t>
      </w:r>
      <w:r w:rsidRPr="00DB298B">
        <w:rPr>
          <w:rFonts w:ascii="Verdana" w:hAnsi="Verdana"/>
          <w:b/>
          <w:sz w:val="16"/>
          <w:szCs w:val="16"/>
        </w:rPr>
        <w:t>hata</w:t>
      </w:r>
      <w:r w:rsidRPr="00DB298B">
        <w:rPr>
          <w:rFonts w:ascii="Verdana" w:hAnsi="Verdana"/>
          <w:sz w:val="16"/>
          <w:szCs w:val="16"/>
        </w:rPr>
        <w:t xml:space="preserve"> (</w:t>
      </w:r>
      <m:oMath>
        <m:sSub>
          <m:sSubPr>
            <m:ctrlPr>
              <w:rPr>
                <w:rFonts w:ascii="Cambria Math" w:hAnsi="Cambria Math"/>
                <w:sz w:val="16"/>
                <w:szCs w:val="16"/>
              </w:rPr>
            </m:ctrlPr>
          </m:sSubPr>
          <m:e>
            <m:r>
              <w:rPr>
                <w:rFonts w:ascii="Cambria Math" w:hAnsi="Cambria Math"/>
                <w:sz w:val="16"/>
                <w:szCs w:val="16"/>
              </w:rPr>
              <m:t>E</m:t>
            </m:r>
          </m:e>
          <m:sub>
            <m:r>
              <w:rPr>
                <w:rFonts w:ascii="Cambria Math" w:hAnsi="Cambria Math"/>
                <w:sz w:val="16"/>
                <w:szCs w:val="16"/>
              </w:rPr>
              <m:t>r</m:t>
            </m:r>
          </m:sub>
        </m:sSub>
      </m:oMath>
      <w:r w:rsidRPr="00DB298B">
        <w:rPr>
          <w:rFonts w:ascii="Verdana" w:hAnsi="Verdana"/>
          <w:sz w:val="16"/>
          <w:szCs w:val="16"/>
        </w:rPr>
        <w:t>)terimleri ile ifade edilir.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sz w:val="16"/>
          <w:szCs w:val="16"/>
        </w:rPr>
      </w:pPr>
      <m:oMathPara>
        <m:oMath>
          <m:r>
            <w:rPr>
              <w:rFonts w:ascii="Cambria Math" w:hAnsi="Cambria Math"/>
              <w:sz w:val="16"/>
              <w:szCs w:val="16"/>
            </w:rPr>
            <m:t>E=</m:t>
          </m:r>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t</m:t>
              </m:r>
            </m:sub>
          </m:sSub>
        </m:oMath>
      </m:oMathPara>
    </w:p>
    <w:p w:rsidR="00DB298B" w:rsidRPr="00DB298B" w:rsidRDefault="00DB298B" w:rsidP="00DB298B">
      <w:pPr>
        <w:snapToGrid w:val="0"/>
        <w:spacing w:before="60" w:after="60"/>
        <w:rPr>
          <w:rFonts w:ascii="Verdana" w:hAnsi="Verdana"/>
          <w:sz w:val="16"/>
          <w:szCs w:val="16"/>
        </w:rPr>
      </w:pPr>
    </w:p>
    <w:p w:rsidR="00DB298B" w:rsidRPr="00DB298B" w:rsidRDefault="00BA7E1F" w:rsidP="00DB298B">
      <w:pPr>
        <w:snapToGrid w:val="0"/>
        <w:spacing w:before="60" w:after="60"/>
        <w:rPr>
          <w:rFonts w:ascii="Verdana" w:hAnsi="Verdana"/>
          <w:sz w:val="16"/>
          <w:szCs w:val="16"/>
        </w:rPr>
      </w:pPr>
      <m:oMathPara>
        <m:oMath>
          <m:sSub>
            <m:sSubPr>
              <m:ctrlPr>
                <w:rPr>
                  <w:rFonts w:ascii="Cambria Math" w:hAnsi="Cambria Math"/>
                  <w:sz w:val="16"/>
                  <w:szCs w:val="16"/>
                </w:rPr>
              </m:ctrlPr>
            </m:sSubPr>
            <m:e>
              <m:r>
                <w:rPr>
                  <w:rFonts w:ascii="Cambria Math" w:hAnsi="Cambria Math"/>
                  <w:sz w:val="16"/>
                  <w:szCs w:val="16"/>
                </w:rPr>
                <m:t>E</m:t>
              </m:r>
            </m:e>
            <m:sub>
              <m:r>
                <w:rPr>
                  <w:rFonts w:ascii="Cambria Math" w:hAnsi="Cambria Math"/>
                  <w:sz w:val="16"/>
                  <w:szCs w:val="16"/>
                </w:rPr>
                <m:t>r</m:t>
              </m:r>
            </m:sub>
          </m:sSub>
          <m: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t</m:t>
                  </m:r>
                </m:sub>
              </m:sSub>
            </m:num>
            <m:den>
              <m:sSub>
                <m:sSubPr>
                  <m:ctrlPr>
                    <w:rPr>
                      <w:rFonts w:ascii="Cambria Math" w:hAnsi="Cambria Math"/>
                      <w:sz w:val="16"/>
                      <w:szCs w:val="16"/>
                    </w:rPr>
                  </m:ctrlPr>
                </m:sSubPr>
                <m:e>
                  <m:r>
                    <w:rPr>
                      <w:rFonts w:ascii="Cambria Math" w:hAnsi="Cambria Math"/>
                      <w:sz w:val="16"/>
                      <w:szCs w:val="16"/>
                    </w:rPr>
                    <m:t>x</m:t>
                  </m:r>
                </m:e>
                <m:sub>
                  <m:r>
                    <w:rPr>
                      <w:rFonts w:ascii="Cambria Math" w:hAnsi="Cambria Math"/>
                      <w:sz w:val="16"/>
                      <w:szCs w:val="16"/>
                    </w:rPr>
                    <m:t>t</m:t>
                  </m:r>
                </m:sub>
              </m:sSub>
            </m:den>
          </m:f>
          <m:r>
            <w:rPr>
              <w:rFonts w:ascii="Cambria Math" w:hAnsi="Cambria Math"/>
              <w:sz w:val="16"/>
              <w:szCs w:val="16"/>
            </w:rPr>
            <m:t>×100</m:t>
          </m:r>
        </m:oMath>
      </m:oMathPara>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b/>
          <w:sz w:val="16"/>
          <w:szCs w:val="16"/>
        </w:rPr>
      </w:pPr>
      <w:r w:rsidRPr="00DB298B">
        <w:rPr>
          <w:rFonts w:ascii="Verdana" w:hAnsi="Verdana"/>
          <w:b/>
          <w:sz w:val="16"/>
          <w:szCs w:val="16"/>
        </w:rPr>
        <w:t>Deney sonuçlarına etki eden hata tipleri</w:t>
      </w:r>
    </w:p>
    <w:p w:rsidR="00DB298B" w:rsidRPr="00DB298B" w:rsidRDefault="00DB298B" w:rsidP="00906021">
      <w:pPr>
        <w:snapToGrid w:val="0"/>
        <w:spacing w:before="60" w:after="60"/>
        <w:jc w:val="both"/>
        <w:rPr>
          <w:rFonts w:ascii="Verdana" w:hAnsi="Verdana"/>
          <w:sz w:val="16"/>
          <w:szCs w:val="16"/>
        </w:rPr>
      </w:pPr>
      <w:r w:rsidRPr="00DB298B">
        <w:rPr>
          <w:rFonts w:ascii="Verdana" w:hAnsi="Verdana"/>
          <w:sz w:val="16"/>
          <w:szCs w:val="16"/>
        </w:rPr>
        <w:t xml:space="preserve">Deney sonuçlarına üç tip hatanın etki ettiği kabul edilir. Bunlar </w:t>
      </w:r>
      <w:r w:rsidRPr="00DB298B">
        <w:rPr>
          <w:rFonts w:ascii="Verdana" w:hAnsi="Verdana"/>
          <w:b/>
          <w:sz w:val="16"/>
          <w:szCs w:val="16"/>
        </w:rPr>
        <w:t>sistematik hata</w:t>
      </w:r>
      <w:r w:rsidRPr="00DB298B">
        <w:rPr>
          <w:rFonts w:ascii="Verdana" w:hAnsi="Verdana"/>
          <w:sz w:val="16"/>
          <w:szCs w:val="16"/>
        </w:rPr>
        <w:t xml:space="preserve"> (kaynağı belirli hata), </w:t>
      </w:r>
      <w:r w:rsidRPr="00DB298B">
        <w:rPr>
          <w:rFonts w:ascii="Verdana" w:hAnsi="Verdana"/>
          <w:b/>
          <w:sz w:val="16"/>
          <w:szCs w:val="16"/>
        </w:rPr>
        <w:t>rasgele hata</w:t>
      </w:r>
      <w:r w:rsidRPr="00DB298B">
        <w:rPr>
          <w:rFonts w:ascii="Verdana" w:hAnsi="Verdana"/>
          <w:sz w:val="16"/>
          <w:szCs w:val="16"/>
        </w:rPr>
        <w:t xml:space="preserve"> (kaynağı belirsiz hata) ve </w:t>
      </w:r>
      <w:r w:rsidRPr="00DB298B">
        <w:rPr>
          <w:rFonts w:ascii="Verdana" w:hAnsi="Verdana"/>
          <w:b/>
          <w:sz w:val="16"/>
          <w:szCs w:val="16"/>
        </w:rPr>
        <w:t>kaba</w:t>
      </w:r>
      <w:r w:rsidRPr="00DB298B">
        <w:rPr>
          <w:rFonts w:ascii="Verdana" w:hAnsi="Verdana"/>
          <w:sz w:val="16"/>
          <w:szCs w:val="16"/>
        </w:rPr>
        <w:t xml:space="preserve"> hatadır. Kaba hatalar deney sonucunun atılmasını gerektiren hatalardır ve deney yöntemini uygulanması sırasında karşılaşılan dökülme, sıçrama, dışarıdan </w:t>
      </w:r>
      <w:proofErr w:type="spellStart"/>
      <w:r w:rsidRPr="00DB298B">
        <w:rPr>
          <w:rFonts w:ascii="Verdana" w:hAnsi="Verdana"/>
          <w:sz w:val="16"/>
          <w:szCs w:val="16"/>
        </w:rPr>
        <w:t>safsızlık</w:t>
      </w:r>
      <w:proofErr w:type="spellEnd"/>
      <w:r w:rsidRPr="00DB298B">
        <w:rPr>
          <w:rFonts w:ascii="Verdana" w:hAnsi="Verdana"/>
          <w:sz w:val="16"/>
          <w:szCs w:val="16"/>
        </w:rPr>
        <w:t xml:space="preserve"> bulaşması, elektrik kesintisi ve buna bağlı </w:t>
      </w:r>
      <w:proofErr w:type="gramStart"/>
      <w:r w:rsidRPr="00DB298B">
        <w:rPr>
          <w:rFonts w:ascii="Verdana" w:hAnsi="Verdana"/>
          <w:sz w:val="16"/>
          <w:szCs w:val="16"/>
        </w:rPr>
        <w:t>kalibrasyon</w:t>
      </w:r>
      <w:proofErr w:type="gramEnd"/>
      <w:r w:rsidRPr="00DB298B">
        <w:rPr>
          <w:rFonts w:ascii="Verdana" w:hAnsi="Verdana"/>
          <w:sz w:val="16"/>
          <w:szCs w:val="16"/>
        </w:rPr>
        <w:t xml:space="preserve"> bozulması gibi sebeplerle ortaya çıkan hatalardır. </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b/>
          <w:sz w:val="16"/>
          <w:szCs w:val="16"/>
        </w:rPr>
      </w:pPr>
      <w:r w:rsidRPr="00DB298B">
        <w:rPr>
          <w:rFonts w:ascii="Verdana" w:hAnsi="Verdana"/>
          <w:b/>
          <w:sz w:val="16"/>
          <w:szCs w:val="16"/>
        </w:rPr>
        <w:t>Sistematik hatalar</w:t>
      </w:r>
    </w:p>
    <w:p w:rsidR="00DB298B" w:rsidRPr="00DB298B" w:rsidRDefault="00DB298B" w:rsidP="00DB298B">
      <w:pPr>
        <w:snapToGrid w:val="0"/>
        <w:spacing w:before="60" w:after="60"/>
        <w:rPr>
          <w:rFonts w:ascii="Verdana" w:hAnsi="Verdana"/>
          <w:sz w:val="16"/>
          <w:szCs w:val="16"/>
        </w:rPr>
      </w:pPr>
      <w:r w:rsidRPr="00DB298B">
        <w:rPr>
          <w:rFonts w:ascii="Verdana" w:hAnsi="Verdana"/>
          <w:sz w:val="16"/>
          <w:szCs w:val="16"/>
        </w:rPr>
        <w:t>Sistematik hatanın kaynağı belirlenebilir ve analitik yöntemin sonuçlarında sapma eğilimine yol açarlar. Aynı yolla tekrarlanan ölçümlerdeki sistematik hatanın büyüklüğü aynıdır.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sz w:val="16"/>
          <w:szCs w:val="16"/>
        </w:rPr>
      </w:pPr>
      <w:r w:rsidRPr="00DB298B">
        <w:rPr>
          <w:rFonts w:ascii="Verdana" w:hAnsi="Verdana"/>
          <w:sz w:val="16"/>
          <w:szCs w:val="16"/>
        </w:rPr>
        <w:t xml:space="preserve">Sistematik hataya sebep olan üç farklı kaynak vardır. Bunlar; </w:t>
      </w:r>
      <w:r w:rsidRPr="00DB298B">
        <w:rPr>
          <w:rFonts w:ascii="Verdana" w:hAnsi="Verdana"/>
          <w:b/>
          <w:sz w:val="16"/>
          <w:szCs w:val="16"/>
        </w:rPr>
        <w:t>alet hataları</w:t>
      </w:r>
      <w:r w:rsidRPr="00DB298B">
        <w:rPr>
          <w:rFonts w:ascii="Verdana" w:hAnsi="Verdana"/>
          <w:sz w:val="16"/>
          <w:szCs w:val="16"/>
        </w:rPr>
        <w:t xml:space="preserve">, </w:t>
      </w:r>
      <w:r w:rsidRPr="00DB298B">
        <w:rPr>
          <w:rFonts w:ascii="Verdana" w:hAnsi="Verdana"/>
          <w:b/>
          <w:sz w:val="16"/>
          <w:szCs w:val="16"/>
        </w:rPr>
        <w:t xml:space="preserve">yöntem hataları </w:t>
      </w:r>
      <w:r w:rsidRPr="00DB298B">
        <w:rPr>
          <w:rFonts w:ascii="Verdana" w:hAnsi="Verdana"/>
          <w:sz w:val="16"/>
          <w:szCs w:val="16"/>
        </w:rPr>
        <w:t xml:space="preserve">ve </w:t>
      </w:r>
      <w:r w:rsidRPr="00DB298B">
        <w:rPr>
          <w:rFonts w:ascii="Verdana" w:hAnsi="Verdana"/>
          <w:b/>
          <w:sz w:val="16"/>
          <w:szCs w:val="16"/>
        </w:rPr>
        <w:t>kişisel hatalar</w:t>
      </w:r>
      <w:r w:rsidRPr="00DB298B">
        <w:rPr>
          <w:rFonts w:ascii="Verdana" w:hAnsi="Verdana"/>
          <w:sz w:val="16"/>
          <w:szCs w:val="16"/>
        </w:rPr>
        <w:t xml:space="preserve">dır. Sistematik hataların analitik sonuçlar üzerine etkisi </w:t>
      </w:r>
      <w:r w:rsidRPr="00DB298B">
        <w:rPr>
          <w:rFonts w:ascii="Verdana" w:hAnsi="Verdana"/>
          <w:b/>
          <w:sz w:val="16"/>
          <w:szCs w:val="16"/>
        </w:rPr>
        <w:t>sabit</w:t>
      </w:r>
      <w:r w:rsidRPr="00DB298B">
        <w:rPr>
          <w:rFonts w:ascii="Verdana" w:hAnsi="Verdana"/>
          <w:sz w:val="16"/>
          <w:szCs w:val="16"/>
        </w:rPr>
        <w:t xml:space="preserve"> veya </w:t>
      </w:r>
      <w:r w:rsidRPr="00DB298B">
        <w:rPr>
          <w:rFonts w:ascii="Verdana" w:hAnsi="Verdana"/>
          <w:b/>
          <w:sz w:val="16"/>
          <w:szCs w:val="16"/>
        </w:rPr>
        <w:t>orantılı</w:t>
      </w:r>
      <w:r w:rsidRPr="00DB298B">
        <w:rPr>
          <w:rFonts w:ascii="Verdana" w:hAnsi="Verdana"/>
          <w:sz w:val="16"/>
          <w:szCs w:val="16"/>
        </w:rPr>
        <w:t xml:space="preserve"> olabilir. </w:t>
      </w:r>
      <w:r w:rsidRPr="00DB298B">
        <w:rPr>
          <w:rFonts w:ascii="Verdana" w:hAnsi="Verdana"/>
          <w:b/>
          <w:sz w:val="16"/>
          <w:szCs w:val="16"/>
        </w:rPr>
        <w:t>Sabit hatalar</w:t>
      </w:r>
      <w:r w:rsidRPr="00DB298B">
        <w:rPr>
          <w:rFonts w:ascii="Verdana" w:hAnsi="Verdana"/>
          <w:sz w:val="16"/>
          <w:szCs w:val="16"/>
        </w:rPr>
        <w:t xml:space="preserve"> numune miktarından bağımsız hatalardır ve numune miktarı azaldıkça bağıl olarak daha önemli olan hatalardır. </w:t>
      </w:r>
      <w:r w:rsidRPr="00DB298B">
        <w:rPr>
          <w:rFonts w:ascii="Verdana" w:hAnsi="Verdana"/>
          <w:b/>
          <w:sz w:val="16"/>
          <w:szCs w:val="16"/>
        </w:rPr>
        <w:t>Orantılı hatalar</w:t>
      </w:r>
      <w:r w:rsidRPr="00DB298B">
        <w:rPr>
          <w:rFonts w:ascii="Verdana" w:hAnsi="Verdana"/>
          <w:sz w:val="16"/>
          <w:szCs w:val="16"/>
        </w:rPr>
        <w:t xml:space="preserve"> ise numune miktarı ile orantılı olarak artan veya azalan hatalardır. Orantılı hatalardaki bağıl hata sabittir.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sz w:val="16"/>
          <w:szCs w:val="16"/>
        </w:rPr>
      </w:pPr>
      <w:r w:rsidRPr="00DB298B">
        <w:rPr>
          <w:rFonts w:ascii="Verdana" w:hAnsi="Verdana"/>
          <w:b/>
          <w:sz w:val="16"/>
          <w:szCs w:val="16"/>
        </w:rPr>
        <w:t>Alet hataları</w:t>
      </w:r>
      <w:r w:rsidRPr="00DB298B">
        <w:rPr>
          <w:rFonts w:ascii="Verdana" w:hAnsi="Verdana"/>
          <w:sz w:val="16"/>
          <w:szCs w:val="16"/>
        </w:rPr>
        <w:t xml:space="preserve">, analitik yöntemde kullanılan, pipet, </w:t>
      </w:r>
      <w:proofErr w:type="spellStart"/>
      <w:r w:rsidRPr="00DB298B">
        <w:rPr>
          <w:rFonts w:ascii="Verdana" w:hAnsi="Verdana"/>
          <w:sz w:val="16"/>
          <w:szCs w:val="16"/>
        </w:rPr>
        <w:t>büret</w:t>
      </w:r>
      <w:proofErr w:type="spellEnd"/>
      <w:r w:rsidRPr="00DB298B">
        <w:rPr>
          <w:rFonts w:ascii="Verdana" w:hAnsi="Verdana"/>
          <w:sz w:val="16"/>
          <w:szCs w:val="16"/>
        </w:rPr>
        <w:t xml:space="preserve">, terazi, ölçülü balon, elektronik aletler gibi aletlerin </w:t>
      </w:r>
      <w:proofErr w:type="gramStart"/>
      <w:r w:rsidRPr="00DB298B">
        <w:rPr>
          <w:rFonts w:ascii="Verdana" w:hAnsi="Verdana"/>
          <w:sz w:val="16"/>
          <w:szCs w:val="16"/>
        </w:rPr>
        <w:t>kalibrasyonlarının</w:t>
      </w:r>
      <w:proofErr w:type="gramEnd"/>
      <w:r w:rsidRPr="00DB298B">
        <w:rPr>
          <w:rFonts w:ascii="Verdana" w:hAnsi="Verdana"/>
          <w:sz w:val="16"/>
          <w:szCs w:val="16"/>
        </w:rPr>
        <w:t xml:space="preserve"> bozulması sonucu ortaya çıkan hatalardır. Bu aletlerin </w:t>
      </w:r>
      <w:proofErr w:type="gramStart"/>
      <w:r w:rsidRPr="00DB298B">
        <w:rPr>
          <w:rFonts w:ascii="Verdana" w:hAnsi="Verdana"/>
          <w:sz w:val="16"/>
          <w:szCs w:val="16"/>
        </w:rPr>
        <w:t>kalibrasyonu</w:t>
      </w:r>
      <w:proofErr w:type="gramEnd"/>
      <w:r w:rsidRPr="00DB298B">
        <w:rPr>
          <w:rFonts w:ascii="Verdana" w:hAnsi="Verdana"/>
          <w:sz w:val="16"/>
          <w:szCs w:val="16"/>
        </w:rPr>
        <w:t xml:space="preserve"> tekrar yapılarak bu tip hataların önüne geçilebilir.</w:t>
      </w:r>
    </w:p>
    <w:p w:rsidR="00DB298B" w:rsidRPr="00DB298B" w:rsidRDefault="00DB298B" w:rsidP="00DB298B">
      <w:pPr>
        <w:snapToGrid w:val="0"/>
        <w:spacing w:before="60" w:after="60"/>
        <w:rPr>
          <w:rFonts w:ascii="Verdana" w:hAnsi="Verdana"/>
          <w:sz w:val="16"/>
          <w:szCs w:val="16"/>
        </w:rPr>
      </w:pPr>
    </w:p>
    <w:p w:rsidR="00DB298B" w:rsidRPr="00DB298B" w:rsidRDefault="00DB298B" w:rsidP="00DB298B">
      <w:pPr>
        <w:snapToGrid w:val="0"/>
        <w:spacing w:before="60" w:after="60"/>
        <w:rPr>
          <w:rFonts w:ascii="Verdana" w:hAnsi="Verdana"/>
          <w:sz w:val="16"/>
          <w:szCs w:val="16"/>
        </w:rPr>
      </w:pPr>
      <w:r w:rsidRPr="00DB298B">
        <w:rPr>
          <w:rFonts w:ascii="Verdana" w:hAnsi="Verdana"/>
          <w:b/>
          <w:sz w:val="16"/>
          <w:szCs w:val="16"/>
        </w:rPr>
        <w:t>Yöntem hataları</w:t>
      </w:r>
      <w:r w:rsidRPr="00DB298B">
        <w:rPr>
          <w:rFonts w:ascii="Verdana" w:hAnsi="Verdana"/>
          <w:sz w:val="16"/>
          <w:szCs w:val="16"/>
        </w:rPr>
        <w:t xml:space="preserve">, analitik yöntemde kullanılan reaktiflerin ve yöntemin dayandığı tepkimelerin, yavaşlık, tamamlanamama vb. sebeplerle ideal olmayan davranışları sonucu açığa çıkan hatalardır. Ayrıca, numunede bulunan ve </w:t>
      </w:r>
      <w:proofErr w:type="spellStart"/>
      <w:r w:rsidRPr="00DB298B">
        <w:rPr>
          <w:rFonts w:ascii="Verdana" w:hAnsi="Verdana"/>
          <w:sz w:val="16"/>
          <w:szCs w:val="16"/>
        </w:rPr>
        <w:t>analit</w:t>
      </w:r>
      <w:proofErr w:type="spellEnd"/>
      <w:r w:rsidRPr="00DB298B">
        <w:rPr>
          <w:rFonts w:ascii="Verdana" w:hAnsi="Verdana"/>
          <w:sz w:val="16"/>
          <w:szCs w:val="16"/>
        </w:rPr>
        <w:t xml:space="preserve"> ile benzer tepkimeleri gösteren veya </w:t>
      </w:r>
      <w:proofErr w:type="spellStart"/>
      <w:r w:rsidRPr="00DB298B">
        <w:rPr>
          <w:rFonts w:ascii="Verdana" w:hAnsi="Verdana"/>
          <w:sz w:val="16"/>
          <w:szCs w:val="16"/>
        </w:rPr>
        <w:t>analitin</w:t>
      </w:r>
      <w:proofErr w:type="spellEnd"/>
      <w:r w:rsidRPr="00DB298B">
        <w:rPr>
          <w:rFonts w:ascii="Verdana" w:hAnsi="Verdana"/>
          <w:sz w:val="16"/>
          <w:szCs w:val="16"/>
        </w:rPr>
        <w:t xml:space="preserve"> tepkimesini bozan </w:t>
      </w:r>
      <w:proofErr w:type="spellStart"/>
      <w:r w:rsidRPr="00DB298B">
        <w:rPr>
          <w:rFonts w:ascii="Verdana" w:hAnsi="Verdana"/>
          <w:sz w:val="16"/>
          <w:szCs w:val="16"/>
        </w:rPr>
        <w:t>safsızlıklar</w:t>
      </w:r>
      <w:proofErr w:type="spellEnd"/>
      <w:r w:rsidRPr="00DB298B">
        <w:rPr>
          <w:rFonts w:ascii="Verdana" w:hAnsi="Verdana"/>
          <w:sz w:val="16"/>
          <w:szCs w:val="16"/>
        </w:rPr>
        <w:t xml:space="preserve"> da yöntem hatası </w:t>
      </w:r>
      <w:r w:rsidRPr="00DB298B">
        <w:rPr>
          <w:rFonts w:ascii="Verdana" w:hAnsi="Verdana"/>
          <w:sz w:val="16"/>
          <w:szCs w:val="16"/>
        </w:rPr>
        <w:lastRenderedPageBreak/>
        <w:t>kaynaklarındandır. Yöntem hatalarının belirlenmesinde, içeriği analiz edilen numune bileşimine benzer standart numune analizleri, numunenin tamamen farklı bir yöntemle analizi, tanık tayinler gibi yöntemlerden faydalanılır. Ayrıca numune miktarı değiştirilerek hatanın sabit veya orantılı hata olup olmadığı belirlenir.</w:t>
      </w:r>
    </w:p>
    <w:p w:rsidR="00DB298B" w:rsidRDefault="00DB298B" w:rsidP="00DB298B">
      <w:pPr>
        <w:snapToGrid w:val="0"/>
        <w:spacing w:before="60" w:after="60"/>
        <w:rPr>
          <w:rFonts w:ascii="Verdana" w:hAnsi="Verdana"/>
          <w:sz w:val="16"/>
          <w:szCs w:val="16"/>
        </w:rPr>
      </w:pPr>
      <w:r w:rsidRPr="00DB298B">
        <w:rPr>
          <w:rFonts w:ascii="Verdana" w:hAnsi="Verdana"/>
          <w:b/>
          <w:sz w:val="16"/>
          <w:szCs w:val="16"/>
        </w:rPr>
        <w:t>Kişisel hatalar</w:t>
      </w:r>
      <w:r w:rsidRPr="00DB298B">
        <w:rPr>
          <w:rFonts w:ascii="Verdana" w:hAnsi="Verdana"/>
          <w:sz w:val="16"/>
          <w:szCs w:val="16"/>
        </w:rPr>
        <w:t xml:space="preserve"> ise, yöntemi uygulayan kişinin fiziksel kusurlarından, ön yargı, özensiz çalışma gibi sebeplerden oraya çıkan hatalardır ve bu hataların çoğu dikkatli ve düzenli bir çalışma ile ortadan kaldırılabilir. Fiziksel kusurların sebep olduğu hatalar, bu fiziksel kusurdan etkilenmeyen bir yöntem kullanılarak ortadan kaldırılabilir.</w:t>
      </w:r>
    </w:p>
    <w:p w:rsidR="00906021" w:rsidRPr="00DB298B" w:rsidRDefault="00906021" w:rsidP="00DB298B">
      <w:pPr>
        <w:snapToGrid w:val="0"/>
        <w:spacing w:before="60" w:after="60"/>
        <w:rPr>
          <w:rFonts w:ascii="Verdana" w:hAnsi="Verdana"/>
          <w:sz w:val="16"/>
          <w:szCs w:val="16"/>
        </w:rPr>
      </w:pPr>
    </w:p>
    <w:p w:rsidR="00906021" w:rsidRDefault="00906021" w:rsidP="00906021">
      <w:pPr>
        <w:spacing w:after="0" w:line="240" w:lineRule="auto"/>
        <w:rPr>
          <w:rFonts w:ascii="Verdana" w:hAnsi="Verdana"/>
          <w:b/>
          <w:sz w:val="16"/>
          <w:szCs w:val="16"/>
        </w:rPr>
      </w:pPr>
      <w:r>
        <w:rPr>
          <w:rFonts w:ascii="Verdana" w:hAnsi="Verdana"/>
          <w:b/>
          <w:sz w:val="16"/>
          <w:szCs w:val="16"/>
        </w:rPr>
        <w:t>Sistematik yöntem hatalarının tespiti</w:t>
      </w:r>
    </w:p>
    <w:p w:rsidR="00906021" w:rsidRDefault="00906021" w:rsidP="00906021">
      <w:pPr>
        <w:spacing w:after="0" w:line="240" w:lineRule="auto"/>
        <w:rPr>
          <w:rFonts w:ascii="Verdana" w:hAnsi="Verdana"/>
          <w:sz w:val="16"/>
          <w:szCs w:val="16"/>
        </w:rPr>
      </w:pPr>
    </w:p>
    <w:p w:rsidR="00906021" w:rsidRDefault="00906021" w:rsidP="00906021">
      <w:pPr>
        <w:pStyle w:val="ListeParagraf"/>
        <w:numPr>
          <w:ilvl w:val="0"/>
          <w:numId w:val="1"/>
        </w:numPr>
        <w:spacing w:after="0" w:line="240" w:lineRule="auto"/>
        <w:rPr>
          <w:rFonts w:ascii="Verdana" w:hAnsi="Verdana"/>
          <w:sz w:val="16"/>
          <w:szCs w:val="16"/>
        </w:rPr>
      </w:pPr>
      <w:r>
        <w:rPr>
          <w:rFonts w:ascii="Verdana" w:hAnsi="Verdana"/>
          <w:sz w:val="16"/>
          <w:szCs w:val="16"/>
        </w:rPr>
        <w:t>Standart numunelerin analizi</w:t>
      </w:r>
    </w:p>
    <w:p w:rsidR="00906021" w:rsidRDefault="00906021" w:rsidP="00906021">
      <w:pPr>
        <w:pStyle w:val="ListeParagraf"/>
        <w:numPr>
          <w:ilvl w:val="0"/>
          <w:numId w:val="1"/>
        </w:numPr>
        <w:spacing w:after="0" w:line="240" w:lineRule="auto"/>
        <w:rPr>
          <w:rFonts w:ascii="Verdana" w:hAnsi="Verdana"/>
          <w:sz w:val="16"/>
          <w:szCs w:val="16"/>
        </w:rPr>
      </w:pPr>
      <w:r>
        <w:rPr>
          <w:rFonts w:ascii="Verdana" w:hAnsi="Verdana"/>
          <w:sz w:val="16"/>
          <w:szCs w:val="16"/>
        </w:rPr>
        <w:t>Doğruluğu önceden teyit edilmiş alternatif yöntem analizleri</w:t>
      </w:r>
    </w:p>
    <w:p w:rsidR="00906021" w:rsidRDefault="00906021" w:rsidP="00906021">
      <w:pPr>
        <w:pStyle w:val="ListeParagraf"/>
        <w:numPr>
          <w:ilvl w:val="0"/>
          <w:numId w:val="1"/>
        </w:numPr>
        <w:spacing w:after="0" w:line="240" w:lineRule="auto"/>
        <w:rPr>
          <w:rFonts w:ascii="Verdana" w:hAnsi="Verdana"/>
          <w:sz w:val="16"/>
          <w:szCs w:val="16"/>
        </w:rPr>
      </w:pPr>
      <w:r>
        <w:rPr>
          <w:rFonts w:ascii="Verdana" w:hAnsi="Verdana"/>
          <w:sz w:val="16"/>
          <w:szCs w:val="16"/>
        </w:rPr>
        <w:t>Tanık tayinleri,</w:t>
      </w:r>
    </w:p>
    <w:p w:rsidR="00906021" w:rsidRDefault="00906021" w:rsidP="00906021">
      <w:pPr>
        <w:pStyle w:val="ListeParagraf"/>
        <w:numPr>
          <w:ilvl w:val="0"/>
          <w:numId w:val="1"/>
        </w:numPr>
        <w:spacing w:after="0" w:line="240" w:lineRule="auto"/>
        <w:rPr>
          <w:rFonts w:ascii="Verdana" w:hAnsi="Verdana"/>
          <w:sz w:val="16"/>
          <w:szCs w:val="16"/>
        </w:rPr>
      </w:pPr>
      <w:r>
        <w:rPr>
          <w:rFonts w:ascii="Verdana" w:hAnsi="Verdana"/>
          <w:sz w:val="16"/>
          <w:szCs w:val="16"/>
        </w:rPr>
        <w:t>Numune miktarları.</w:t>
      </w:r>
    </w:p>
    <w:p w:rsidR="00DB298B" w:rsidRPr="00DB298B" w:rsidRDefault="00DB298B" w:rsidP="00DB298B">
      <w:pPr>
        <w:rPr>
          <w:rFonts w:ascii="Verdana" w:hAnsi="Verdana"/>
          <w:sz w:val="16"/>
          <w:szCs w:val="16"/>
        </w:rPr>
      </w:pPr>
    </w:p>
    <w:p w:rsidR="00B9598B" w:rsidRPr="006E3FC6" w:rsidRDefault="006E3FC6" w:rsidP="00B9598B">
      <w:pPr>
        <w:spacing w:after="0" w:line="240" w:lineRule="auto"/>
        <w:rPr>
          <w:rFonts w:ascii="Verdana" w:eastAsiaTheme="minorEastAsia" w:hAnsi="Verdana"/>
          <w:sz w:val="28"/>
          <w:szCs w:val="28"/>
        </w:rPr>
      </w:pPr>
      <w:bookmarkStart w:id="0" w:name="_GoBack"/>
      <m:oMathPara>
        <m:oMath>
          <m:r>
            <w:rPr>
              <w:rFonts w:ascii="Cambria Math" w:eastAsiaTheme="minorEastAsia" w:hAnsi="Cambria Math"/>
              <w:sz w:val="28"/>
              <w:szCs w:val="28"/>
            </w:rPr>
            <m:t>μ</m:t>
          </m:r>
        </m:oMath>
      </m:oMathPara>
    </w:p>
    <w:bookmarkEnd w:id="0"/>
    <w:p w:rsidR="00B9598B" w:rsidRPr="006E3FC6" w:rsidRDefault="00B9598B" w:rsidP="00B9598B">
      <w:pPr>
        <w:spacing w:after="0" w:line="240" w:lineRule="auto"/>
        <w:rPr>
          <w:rFonts w:ascii="Verdana" w:eastAsiaTheme="minorEastAsia" w:hAnsi="Verdana"/>
          <w:sz w:val="16"/>
          <w:szCs w:val="16"/>
        </w:rPr>
      </w:pPr>
    </w:p>
    <w:sectPr w:rsidR="00B9598B" w:rsidRPr="006E3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95AE4"/>
    <w:multiLevelType w:val="hybridMultilevel"/>
    <w:tmpl w:val="E02C9090"/>
    <w:lvl w:ilvl="0" w:tplc="544EB532">
      <w:start w:val="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8B"/>
    <w:rsid w:val="005F75A9"/>
    <w:rsid w:val="006E3FC6"/>
    <w:rsid w:val="00774FD0"/>
    <w:rsid w:val="00796749"/>
    <w:rsid w:val="008E1EF8"/>
    <w:rsid w:val="00906021"/>
    <w:rsid w:val="00AF7270"/>
    <w:rsid w:val="00B9598B"/>
    <w:rsid w:val="00BA7E1F"/>
    <w:rsid w:val="00DB2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42896-7763-4C78-A76D-71EABB7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06021"/>
    <w:rPr>
      <w:color w:val="808080"/>
    </w:rPr>
  </w:style>
  <w:style w:type="paragraph" w:styleId="ListeParagraf">
    <w:name w:val="List Paragraph"/>
    <w:basedOn w:val="Normal"/>
    <w:uiPriority w:val="34"/>
    <w:qFormat/>
    <w:rsid w:val="00906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625</Words>
  <Characters>3566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tastekin_</cp:lastModifiedBy>
  <cp:revision>5</cp:revision>
  <dcterms:created xsi:type="dcterms:W3CDTF">2017-07-27T06:48:00Z</dcterms:created>
  <dcterms:modified xsi:type="dcterms:W3CDTF">2018-07-05T08:38:00Z</dcterms:modified>
</cp:coreProperties>
</file>