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A2" w:rsidRDefault="00B9598B" w:rsidP="00B9598B">
      <w:pPr>
        <w:spacing w:after="0" w:line="240" w:lineRule="auto"/>
        <w:rPr>
          <w:rFonts w:ascii="Verdana" w:hAnsi="Verdana"/>
          <w:b/>
          <w:sz w:val="16"/>
          <w:szCs w:val="16"/>
        </w:rPr>
      </w:pPr>
      <w:r w:rsidRPr="00DF46F9">
        <w:rPr>
          <w:rFonts w:ascii="Verdana" w:hAnsi="Verdana"/>
          <w:b/>
          <w:sz w:val="16"/>
          <w:szCs w:val="16"/>
        </w:rPr>
        <w:t xml:space="preserve">Konu </w:t>
      </w:r>
      <w:r w:rsidR="00253894">
        <w:rPr>
          <w:rFonts w:ascii="Verdana" w:hAnsi="Verdana"/>
          <w:b/>
          <w:sz w:val="16"/>
          <w:szCs w:val="16"/>
        </w:rPr>
        <w:t>9</w:t>
      </w:r>
    </w:p>
    <w:p w:rsidR="00253894" w:rsidRDefault="00253894" w:rsidP="00B9598B">
      <w:pPr>
        <w:spacing w:after="0" w:line="240" w:lineRule="auto"/>
        <w:rPr>
          <w:rFonts w:ascii="Verdana" w:hAnsi="Verdana"/>
          <w:b/>
          <w:sz w:val="16"/>
          <w:szCs w:val="16"/>
        </w:rPr>
      </w:pPr>
    </w:p>
    <w:p w:rsidR="00253894" w:rsidRPr="00DF46F9" w:rsidRDefault="00253894" w:rsidP="00B9598B">
      <w:pPr>
        <w:spacing w:after="0" w:line="240" w:lineRule="auto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İstatistik Verilerin İşlenmesi ve Değerlendirilmesi, Güven Aralıkları</w:t>
      </w:r>
    </w:p>
    <w:p w:rsidR="0000166D" w:rsidRDefault="0000166D" w:rsidP="00B9598B">
      <w:pPr>
        <w:spacing w:after="0" w:line="240" w:lineRule="auto"/>
        <w:rPr>
          <w:rFonts w:ascii="Verdana" w:hAnsi="Verdana"/>
          <w:b/>
          <w:sz w:val="16"/>
          <w:szCs w:val="16"/>
        </w:rPr>
      </w:pPr>
    </w:p>
    <w:p w:rsidR="00B9598B" w:rsidRPr="00DF46F9" w:rsidRDefault="007815DA" w:rsidP="00B9598B">
      <w:pPr>
        <w:spacing w:after="0" w:line="240" w:lineRule="auto"/>
        <w:rPr>
          <w:rFonts w:ascii="Verdana" w:hAnsi="Verdana"/>
          <w:b/>
          <w:sz w:val="16"/>
          <w:szCs w:val="16"/>
        </w:rPr>
      </w:pPr>
      <w:r w:rsidRPr="00DF46F9">
        <w:rPr>
          <w:rFonts w:ascii="Verdana" w:hAnsi="Verdana"/>
          <w:b/>
          <w:sz w:val="16"/>
          <w:szCs w:val="16"/>
        </w:rPr>
        <w:t xml:space="preserve">Güven </w:t>
      </w:r>
      <w:r w:rsidR="00253894">
        <w:rPr>
          <w:rFonts w:ascii="Verdana" w:hAnsi="Verdana"/>
          <w:b/>
          <w:sz w:val="16"/>
          <w:szCs w:val="16"/>
        </w:rPr>
        <w:t>Seviyeleri</w:t>
      </w:r>
      <w:r w:rsidRPr="00DF46F9">
        <w:rPr>
          <w:rFonts w:ascii="Verdana" w:hAnsi="Verdana"/>
          <w:b/>
          <w:sz w:val="16"/>
          <w:szCs w:val="16"/>
        </w:rPr>
        <w:t>, Güven Aralıkları ve Anlamlılık Testleri</w:t>
      </w:r>
    </w:p>
    <w:p w:rsidR="00841CCA" w:rsidRPr="00DF46F9" w:rsidRDefault="00841CCA" w:rsidP="00B9598B">
      <w:pPr>
        <w:spacing w:after="0" w:line="240" w:lineRule="auto"/>
        <w:rPr>
          <w:rFonts w:ascii="Verdana" w:hAnsi="Verdana"/>
          <w:sz w:val="16"/>
          <w:szCs w:val="16"/>
        </w:rPr>
      </w:pPr>
    </w:p>
    <w:p w:rsidR="00DF46F9" w:rsidRPr="00DF46F9" w:rsidRDefault="00DF46F9" w:rsidP="00DF46F9">
      <w:pPr>
        <w:rPr>
          <w:rFonts w:ascii="Verdana" w:hAnsi="Verdana"/>
          <w:b/>
          <w:sz w:val="16"/>
          <w:szCs w:val="16"/>
        </w:rPr>
      </w:pPr>
      <w:r w:rsidRPr="00DF46F9">
        <w:rPr>
          <w:rFonts w:ascii="Verdana" w:hAnsi="Verdana"/>
          <w:b/>
          <w:sz w:val="16"/>
          <w:szCs w:val="16"/>
        </w:rPr>
        <w:t>Güven Aralıkları</w:t>
      </w:r>
    </w:p>
    <w:p w:rsidR="00DF46F9" w:rsidRPr="00DF46F9" w:rsidRDefault="00DF46F9" w:rsidP="00DF46F9">
      <w:pPr>
        <w:rPr>
          <w:rFonts w:ascii="Verdana" w:hAnsi="Verdana"/>
          <w:sz w:val="16"/>
          <w:szCs w:val="16"/>
        </w:rPr>
      </w:pPr>
      <w:r w:rsidRPr="00DF46F9">
        <w:rPr>
          <w:rFonts w:ascii="Verdana" w:hAnsi="Verdana"/>
          <w:sz w:val="16"/>
          <w:szCs w:val="16"/>
        </w:rPr>
        <w:t>Kimyasal analizlerde az sayıdaki ölçüm ile gerçek ortalama (</w:t>
      </w:r>
      <w:r w:rsidRPr="00DF46F9">
        <w:rPr>
          <w:rFonts w:ascii="Verdana" w:hAnsi="Verdana" w:cstheme="minorHAnsi"/>
          <w:sz w:val="16"/>
          <w:szCs w:val="16"/>
        </w:rPr>
        <w:t>µ</w:t>
      </w:r>
      <w:r w:rsidRPr="00DF46F9">
        <w:rPr>
          <w:rFonts w:ascii="Verdana" w:hAnsi="Verdana"/>
          <w:sz w:val="16"/>
          <w:szCs w:val="16"/>
        </w:rPr>
        <w:t>) bulunamaz. Ancak istatistik yardımıyla, sınırlı sayıdaki ölçümden elde edilen örneklem ortalaması (</w:t>
      </w:r>
      <m:oMath>
        <m:acc>
          <m:accPr>
            <m:chr m:val="̅"/>
            <m:ctrlPr>
              <w:rPr>
                <w:rFonts w:ascii="Cambria Math" w:hAnsi="Cambria Math"/>
                <w:sz w:val="16"/>
                <w:szCs w:val="16"/>
              </w:rPr>
            </m:ctrlPr>
          </m:accPr>
          <m:e>
            <m:r>
              <w:rPr>
                <w:rFonts w:ascii="Cambria Math" w:hAnsi="Cambria Math"/>
                <w:sz w:val="16"/>
                <w:szCs w:val="16"/>
              </w:rPr>
              <m:t>x</m:t>
            </m:r>
          </m:e>
        </m:acc>
      </m:oMath>
      <w:r w:rsidRPr="00DF46F9">
        <w:rPr>
          <w:rFonts w:ascii="Verdana" w:hAnsi="Verdana"/>
          <w:sz w:val="16"/>
          <w:szCs w:val="16"/>
        </w:rPr>
        <w:t xml:space="preserve">) merkezde olmak üzere, belli bir olasılık seviyesinde </w:t>
      </w:r>
      <w:proofErr w:type="gramStart"/>
      <w:r w:rsidRPr="00DF46F9">
        <w:rPr>
          <w:rFonts w:ascii="Verdana" w:hAnsi="Verdana"/>
          <w:sz w:val="16"/>
          <w:szCs w:val="16"/>
        </w:rPr>
        <w:t>popülasyon</w:t>
      </w:r>
      <w:proofErr w:type="gramEnd"/>
      <w:r w:rsidRPr="00DF46F9">
        <w:rPr>
          <w:rFonts w:ascii="Verdana" w:hAnsi="Verdana"/>
          <w:sz w:val="16"/>
          <w:szCs w:val="16"/>
        </w:rPr>
        <w:t xml:space="preserve"> ortalamasının (</w:t>
      </w:r>
      <w:r w:rsidRPr="00DF46F9">
        <w:rPr>
          <w:rFonts w:ascii="Verdana" w:hAnsi="Verdana" w:cstheme="minorHAnsi"/>
          <w:sz w:val="16"/>
          <w:szCs w:val="16"/>
        </w:rPr>
        <w:t>µ</w:t>
      </w:r>
      <w:r w:rsidRPr="00DF46F9">
        <w:rPr>
          <w:rFonts w:ascii="Verdana" w:hAnsi="Verdana"/>
          <w:sz w:val="16"/>
          <w:szCs w:val="16"/>
        </w:rPr>
        <w:t>) bulunabileceği aralık belirlenebilir.</w:t>
      </w:r>
    </w:p>
    <w:p w:rsidR="00DF46F9" w:rsidRPr="00DF46F9" w:rsidRDefault="00DF46F9" w:rsidP="00DF46F9">
      <w:pPr>
        <w:rPr>
          <w:rFonts w:ascii="Verdana" w:hAnsi="Verdana"/>
          <w:sz w:val="16"/>
          <w:szCs w:val="16"/>
        </w:rPr>
      </w:pPr>
    </w:p>
    <w:p w:rsidR="00DF46F9" w:rsidRPr="00DF46F9" w:rsidRDefault="00DF46F9" w:rsidP="00DF46F9">
      <w:pPr>
        <w:rPr>
          <w:rFonts w:ascii="Verdana" w:hAnsi="Verdana"/>
          <w:b/>
          <w:sz w:val="16"/>
          <w:szCs w:val="16"/>
        </w:rPr>
      </w:pPr>
      <w:r w:rsidRPr="00DF46F9">
        <w:rPr>
          <w:rFonts w:ascii="Verdana" w:hAnsi="Verdana" w:cstheme="minorHAnsi"/>
          <w:b/>
          <w:sz w:val="16"/>
          <w:szCs w:val="16"/>
        </w:rPr>
        <w:t>σ</w:t>
      </w:r>
      <w:r w:rsidRPr="00DF46F9">
        <w:rPr>
          <w:rFonts w:ascii="Verdana" w:hAnsi="Verdana"/>
          <w:b/>
          <w:sz w:val="16"/>
          <w:szCs w:val="16"/>
        </w:rPr>
        <w:t xml:space="preserve"> Biliniyorken veya </w:t>
      </w:r>
      <m:oMath>
        <m:r>
          <w:rPr>
            <w:rFonts w:ascii="Cambria Math" w:hAnsi="Cambria Math"/>
            <w:sz w:val="16"/>
            <w:szCs w:val="16"/>
          </w:rPr>
          <m:t>s</m:t>
        </m:r>
      </m:oMath>
      <w:r w:rsidRPr="00DF46F9">
        <w:rPr>
          <w:rFonts w:ascii="Verdana" w:eastAsiaTheme="minorEastAsia" w:hAnsi="Verdana"/>
          <w:b/>
          <w:sz w:val="16"/>
          <w:szCs w:val="16"/>
        </w:rPr>
        <w:t xml:space="preserve">’nin </w:t>
      </w:r>
      <w:proofErr w:type="spellStart"/>
      <w:r w:rsidRPr="00DF46F9">
        <w:rPr>
          <w:rFonts w:ascii="Verdana" w:eastAsiaTheme="minorEastAsia" w:hAnsi="Verdana" w:cstheme="minorHAnsi"/>
          <w:b/>
          <w:sz w:val="16"/>
          <w:szCs w:val="16"/>
        </w:rPr>
        <w:t>σ</w:t>
      </w:r>
      <w:r w:rsidRPr="00DF46F9">
        <w:rPr>
          <w:rFonts w:ascii="Verdana" w:eastAsiaTheme="minorEastAsia" w:hAnsi="Verdana"/>
          <w:b/>
          <w:sz w:val="16"/>
          <w:szCs w:val="16"/>
        </w:rPr>
        <w:t>’ya</w:t>
      </w:r>
      <w:proofErr w:type="spellEnd"/>
      <w:r w:rsidRPr="00DF46F9">
        <w:rPr>
          <w:rFonts w:ascii="Verdana" w:eastAsiaTheme="minorEastAsia" w:hAnsi="Verdana"/>
          <w:b/>
          <w:sz w:val="16"/>
          <w:szCs w:val="16"/>
        </w:rPr>
        <w:t xml:space="preserve"> yakın olduğu durumlarda güven aralığı</w:t>
      </w:r>
    </w:p>
    <w:p w:rsidR="00DF46F9" w:rsidRPr="00DF46F9" w:rsidRDefault="00DF46F9" w:rsidP="00DF46F9">
      <w:pPr>
        <w:rPr>
          <w:rFonts w:ascii="Verdana" w:eastAsiaTheme="minorEastAsia" w:hAnsi="Verdana"/>
          <w:sz w:val="16"/>
          <w:szCs w:val="16"/>
        </w:rPr>
      </w:pPr>
      <w:r w:rsidRPr="00DF46F9">
        <w:rPr>
          <w:rFonts w:ascii="Verdana" w:hAnsi="Verdana"/>
          <w:sz w:val="16"/>
          <w:szCs w:val="16"/>
        </w:rPr>
        <w:t xml:space="preserve">Bir yöntem hakkında, geçmişteki tecrübelere ve yapılan deneylere bağlı olarak </w:t>
      </w:r>
      <w:r w:rsidRPr="00DF46F9">
        <w:rPr>
          <w:rFonts w:ascii="Verdana" w:hAnsi="Verdana" w:cstheme="minorHAnsi"/>
          <w:sz w:val="16"/>
          <w:szCs w:val="16"/>
        </w:rPr>
        <w:t xml:space="preserve">σ değeri biliniyor olabilir. </w:t>
      </w:r>
      <w:r w:rsidRPr="00DF46F9">
        <w:rPr>
          <w:rFonts w:ascii="Verdana" w:hAnsi="Verdana"/>
          <w:sz w:val="16"/>
          <w:szCs w:val="16"/>
        </w:rPr>
        <w:t xml:space="preserve">Önceki bölümde, </w:t>
      </w:r>
      <m:oMath>
        <m:r>
          <w:rPr>
            <w:rFonts w:ascii="Cambria Math" w:hAnsi="Cambria Math"/>
            <w:sz w:val="16"/>
            <w:szCs w:val="16"/>
          </w:rPr>
          <m:t>z</m:t>
        </m:r>
      </m:oMath>
      <w:r w:rsidRPr="00DF46F9">
        <w:rPr>
          <w:rFonts w:ascii="Verdana" w:eastAsiaTheme="minorEastAsia" w:hAnsi="Verdana"/>
          <w:sz w:val="16"/>
          <w:szCs w:val="16"/>
        </w:rPr>
        <w:t xml:space="preserve"> değerinin farklı aralıklarda değişmesiyle</w:t>
      </w:r>
      <w:r w:rsidRPr="00DF46F9">
        <w:rPr>
          <w:rFonts w:ascii="Verdana" w:hAnsi="Verdana"/>
          <w:sz w:val="16"/>
          <w:szCs w:val="16"/>
        </w:rPr>
        <w:t xml:space="preserve"> Gauss eğrisinin altında kalan alanların hesaplanabileceği ifade edilmişti. Buna göre </w:t>
      </w:r>
      <m:oMath>
        <m:r>
          <w:rPr>
            <w:rFonts w:ascii="Cambria Math" w:hAnsi="Cambria Math"/>
            <w:sz w:val="16"/>
            <w:szCs w:val="16"/>
          </w:rPr>
          <m:t>z</m:t>
        </m:r>
      </m:oMath>
      <w:r w:rsidRPr="00DF46F9">
        <w:rPr>
          <w:rFonts w:ascii="Verdana" w:eastAsiaTheme="minorEastAsia" w:hAnsi="Verdana"/>
          <w:sz w:val="16"/>
          <w:szCs w:val="16"/>
        </w:rPr>
        <w:t xml:space="preserve"> değeri ( </w:t>
      </w:r>
      <w:r w:rsidRPr="00DF46F9">
        <w:rPr>
          <w:rFonts w:ascii="Verdana" w:eastAsiaTheme="minorEastAsia" w:hAnsi="Verdana"/>
          <w:sz w:val="16"/>
          <w:szCs w:val="16"/>
        </w:rPr>
        <w:noBreakHyphen/>
        <w:t xml:space="preserve">1 ila +1) arasında değiştiğinde Gauss eğrisi altında kalan alan % 68,3 olarak verilmişti. Buna göre; </w:t>
      </w:r>
      <w:r w:rsidRPr="00DF46F9">
        <w:rPr>
          <w:rFonts w:ascii="Verdana" w:eastAsiaTheme="minorEastAsia" w:hAnsi="Verdana" w:cstheme="minorHAnsi"/>
          <w:sz w:val="16"/>
          <w:szCs w:val="16"/>
        </w:rPr>
        <w:t>µ</w:t>
      </w:r>
      <w:r w:rsidRPr="00DF46F9">
        <w:rPr>
          <w:rFonts w:ascii="Verdana" w:eastAsiaTheme="minorEastAsia" w:hAnsi="Verdana"/>
          <w:sz w:val="16"/>
          <w:szCs w:val="16"/>
        </w:rPr>
        <w:t xml:space="preserve"> için güven </w:t>
      </w:r>
      <w:proofErr w:type="gramStart"/>
      <w:r w:rsidRPr="00DF46F9">
        <w:rPr>
          <w:rFonts w:ascii="Verdana" w:eastAsiaTheme="minorEastAsia" w:hAnsi="Verdana"/>
          <w:sz w:val="16"/>
          <w:szCs w:val="16"/>
        </w:rPr>
        <w:t>aralığının</w:t>
      </w:r>
      <w:proofErr w:type="gramEnd"/>
      <w:r w:rsidRPr="00DF46F9">
        <w:rPr>
          <w:rFonts w:ascii="Verdana" w:eastAsiaTheme="minorEastAsia" w:hAnsi="Verdana"/>
          <w:sz w:val="16"/>
          <w:szCs w:val="16"/>
        </w:rPr>
        <w:t xml:space="preserve"> %68,3 olasılıkla </w:t>
      </w:r>
      <m:oMath>
        <m:r>
          <w:rPr>
            <w:rFonts w:ascii="Cambria Math" w:hAnsi="Cambria Math"/>
            <w:sz w:val="16"/>
            <w:szCs w:val="16"/>
          </w:rPr>
          <m:t>x∓1∙σ</m:t>
        </m:r>
      </m:oMath>
      <w:r w:rsidRPr="00DF46F9">
        <w:rPr>
          <w:rFonts w:ascii="Verdana" w:eastAsiaTheme="minorEastAsia" w:hAnsi="Verdana"/>
          <w:sz w:val="16"/>
          <w:szCs w:val="16"/>
        </w:rPr>
        <w:t xml:space="preserve"> aralığında olduğu söylenebilir. Buradan yola çıkarak</w:t>
      </w:r>
    </w:p>
    <w:p w:rsidR="00DF46F9" w:rsidRPr="00DF46F9" w:rsidRDefault="00DF46F9" w:rsidP="00DF46F9">
      <w:pPr>
        <w:rPr>
          <w:rFonts w:ascii="Verdana" w:hAnsi="Verdana"/>
          <w:b/>
          <w:sz w:val="16"/>
          <w:szCs w:val="16"/>
        </w:rPr>
      </w:pPr>
      <w:r w:rsidRPr="00DF46F9">
        <w:rPr>
          <w:rFonts w:ascii="Verdana" w:eastAsiaTheme="minorEastAsia" w:hAnsi="Verdana" w:cstheme="minorHAnsi"/>
          <w:b/>
          <w:sz w:val="16"/>
          <w:szCs w:val="16"/>
        </w:rPr>
        <w:t>µ</w:t>
      </w:r>
      <w:r w:rsidRPr="00DF46F9">
        <w:rPr>
          <w:rFonts w:ascii="Verdana" w:eastAsiaTheme="minorEastAsia" w:hAnsi="Verdana"/>
          <w:b/>
          <w:sz w:val="16"/>
          <w:szCs w:val="16"/>
        </w:rPr>
        <w:t xml:space="preserve"> için güven aralığı = </w:t>
      </w:r>
      <m:oMath>
        <m:r>
          <w:rPr>
            <w:rFonts w:ascii="Cambria Math" w:hAnsi="Cambria Math"/>
            <w:sz w:val="16"/>
            <w:szCs w:val="16"/>
          </w:rPr>
          <m:t>x∓z∙σ</m:t>
        </m:r>
      </m:oMath>
    </w:p>
    <w:p w:rsidR="00DF46F9" w:rsidRPr="00DF46F9" w:rsidRDefault="00DF46F9" w:rsidP="00DF46F9">
      <w:pPr>
        <w:rPr>
          <w:rFonts w:ascii="Verdana" w:hAnsi="Verdana"/>
          <w:sz w:val="16"/>
          <w:szCs w:val="16"/>
        </w:rPr>
      </w:pPr>
      <w:proofErr w:type="gramStart"/>
      <w:r w:rsidRPr="00DF46F9">
        <w:rPr>
          <w:rFonts w:ascii="Verdana" w:hAnsi="Verdana"/>
          <w:sz w:val="16"/>
          <w:szCs w:val="16"/>
        </w:rPr>
        <w:t>yazılabilir</w:t>
      </w:r>
      <w:proofErr w:type="gramEnd"/>
      <w:r w:rsidRPr="00DF46F9">
        <w:rPr>
          <w:rFonts w:ascii="Verdana" w:hAnsi="Verdana"/>
          <w:sz w:val="16"/>
          <w:szCs w:val="16"/>
        </w:rPr>
        <w:t>. Bu eşitlik tek bir ölçüm için elde edilen güven aralığını vermektedir.</w:t>
      </w:r>
    </w:p>
    <w:p w:rsidR="00DF46F9" w:rsidRPr="00DF46F9" w:rsidRDefault="00DF46F9" w:rsidP="00DF46F9">
      <w:pPr>
        <w:rPr>
          <w:rFonts w:ascii="Verdana" w:hAnsi="Verdana"/>
          <w:sz w:val="16"/>
          <w:szCs w:val="16"/>
        </w:rPr>
      </w:pPr>
      <w:r w:rsidRPr="00DF46F9">
        <w:rPr>
          <w:rFonts w:ascii="Verdana" w:hAnsi="Verdana"/>
          <w:sz w:val="16"/>
          <w:szCs w:val="16"/>
        </w:rPr>
        <w:t>N tane ölçümden elde edilen örneklem ortalamasına göre güven aralığı (GA) şöyle hesaplanır:</w:t>
      </w:r>
    </w:p>
    <w:p w:rsidR="00DF46F9" w:rsidRPr="00DF46F9" w:rsidRDefault="00DF46F9" w:rsidP="00DF46F9">
      <w:pPr>
        <w:rPr>
          <w:rFonts w:ascii="Verdana" w:hAnsi="Verdana"/>
          <w:b/>
          <w:sz w:val="16"/>
          <w:szCs w:val="16"/>
        </w:rPr>
      </w:pPr>
      <w:r w:rsidRPr="00DF46F9">
        <w:rPr>
          <w:rFonts w:ascii="Verdana" w:eastAsiaTheme="minorEastAsia" w:hAnsi="Verdana" w:cstheme="minorHAnsi"/>
          <w:b/>
          <w:sz w:val="16"/>
          <w:szCs w:val="16"/>
        </w:rPr>
        <w:t>µ</w:t>
      </w:r>
      <w:r w:rsidRPr="00DF46F9">
        <w:rPr>
          <w:rFonts w:ascii="Verdana" w:eastAsiaTheme="minorEastAsia" w:hAnsi="Verdana"/>
          <w:b/>
          <w:sz w:val="16"/>
          <w:szCs w:val="16"/>
        </w:rPr>
        <w:t xml:space="preserve"> için GA = </w:t>
      </w:r>
      <m:oMath>
        <m:acc>
          <m:accPr>
            <m:chr m:val="̅"/>
            <m:ctrlPr>
              <w:rPr>
                <w:rFonts w:ascii="Cambria Math" w:hAnsi="Cambria Math"/>
                <w:sz w:val="16"/>
                <w:szCs w:val="16"/>
              </w:rPr>
            </m:ctrlPr>
          </m:accPr>
          <m:e>
            <m:r>
              <w:rPr>
                <w:rFonts w:ascii="Cambria Math" w:hAnsi="Cambria Math"/>
                <w:sz w:val="16"/>
                <w:szCs w:val="16"/>
              </w:rPr>
              <m:t>x</m:t>
            </m:r>
          </m:e>
        </m:acc>
        <m:r>
          <w:rPr>
            <w:rFonts w:ascii="Cambria Math" w:hAnsi="Cambria Math"/>
            <w:sz w:val="16"/>
            <w:szCs w:val="16"/>
          </w:rPr>
          <m:t>∓</m:t>
        </m:r>
        <m:f>
          <m:fPr>
            <m:ctrlPr>
              <w:rPr>
                <w:rFonts w:ascii="Cambria Math" w:hAnsi="Cambria Math"/>
                <w:sz w:val="16"/>
                <w:szCs w:val="16"/>
              </w:rPr>
            </m:ctrlPr>
          </m:fPr>
          <m:num>
            <m:r>
              <w:rPr>
                <w:rFonts w:ascii="Cambria Math" w:hAnsi="Cambria Math"/>
                <w:sz w:val="16"/>
                <w:szCs w:val="16"/>
              </w:rPr>
              <m:t>z∙σ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6"/>
                    <w:szCs w:val="1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16"/>
                    <w:szCs w:val="16"/>
                  </w:rPr>
                  <m:t>N</m:t>
                </m:r>
              </m:e>
            </m:rad>
          </m:den>
        </m:f>
      </m:oMath>
    </w:p>
    <w:p w:rsidR="00DF46F9" w:rsidRPr="00DF46F9" w:rsidRDefault="00DF46F9" w:rsidP="00DF46F9">
      <w:pPr>
        <w:rPr>
          <w:rFonts w:ascii="Verdana" w:hAnsi="Verdana"/>
          <w:sz w:val="16"/>
          <w:szCs w:val="16"/>
        </w:rPr>
      </w:pPr>
      <m:oMath>
        <m:r>
          <w:rPr>
            <w:rFonts w:ascii="Cambria Math" w:hAnsi="Cambria Math"/>
            <w:sz w:val="16"/>
            <w:szCs w:val="16"/>
          </w:rPr>
          <m:t>z</m:t>
        </m:r>
      </m:oMath>
      <w:r w:rsidRPr="00DF46F9">
        <w:rPr>
          <w:rFonts w:ascii="Verdana" w:eastAsiaTheme="minorEastAsia" w:hAnsi="Verdana"/>
          <w:sz w:val="16"/>
          <w:szCs w:val="16"/>
        </w:rPr>
        <w:t xml:space="preserve"> </w:t>
      </w:r>
      <w:proofErr w:type="gramStart"/>
      <w:r w:rsidRPr="00DF46F9">
        <w:rPr>
          <w:rFonts w:ascii="Verdana" w:eastAsiaTheme="minorEastAsia" w:hAnsi="Verdana"/>
          <w:sz w:val="16"/>
          <w:szCs w:val="16"/>
        </w:rPr>
        <w:t>değeri</w:t>
      </w:r>
      <w:proofErr w:type="gramEnd"/>
      <w:r w:rsidRPr="00DF46F9">
        <w:rPr>
          <w:rFonts w:ascii="Verdana" w:eastAsiaTheme="minorEastAsia" w:hAnsi="Verdana"/>
          <w:sz w:val="16"/>
          <w:szCs w:val="16"/>
        </w:rPr>
        <w:t xml:space="preserve"> istenilen güven seviyesine göre farklı değerler alacaktır. Yapılan bu istatistiğe </w:t>
      </w:r>
      <m:oMath>
        <m:r>
          <w:rPr>
            <w:rFonts w:ascii="Cambria Math" w:hAnsi="Cambria Math"/>
            <w:sz w:val="16"/>
            <w:szCs w:val="16"/>
          </w:rPr>
          <m:t>z</m:t>
        </m:r>
      </m:oMath>
      <w:r w:rsidRPr="00DF46F9">
        <w:rPr>
          <w:rFonts w:ascii="Verdana" w:eastAsiaTheme="minorEastAsia" w:hAnsi="Verdana"/>
          <w:b/>
          <w:sz w:val="16"/>
          <w:szCs w:val="16"/>
        </w:rPr>
        <w:t xml:space="preserve"> istatistiği</w:t>
      </w:r>
      <w:r w:rsidRPr="00DF46F9">
        <w:rPr>
          <w:rFonts w:ascii="Verdana" w:eastAsiaTheme="minorEastAsia" w:hAnsi="Verdana"/>
          <w:sz w:val="16"/>
          <w:szCs w:val="16"/>
        </w:rPr>
        <w:t xml:space="preserve"> adı verilir.</w:t>
      </w:r>
    </w:p>
    <w:p w:rsidR="00DF46F9" w:rsidRPr="00DF46F9" w:rsidRDefault="00DF46F9" w:rsidP="00DF46F9">
      <w:pPr>
        <w:rPr>
          <w:rFonts w:ascii="Verdana" w:hAnsi="Verdana"/>
          <w:sz w:val="16"/>
          <w:szCs w:val="16"/>
          <w:u w:val="single"/>
        </w:rPr>
      </w:pPr>
      <w:r w:rsidRPr="00DF46F9">
        <w:rPr>
          <w:rFonts w:ascii="Verdana" w:hAnsi="Verdana"/>
          <w:sz w:val="16"/>
          <w:szCs w:val="16"/>
          <w:u w:val="single"/>
        </w:rPr>
        <w:t>Güven seviyesi %</w:t>
      </w:r>
      <w:r w:rsidRPr="00DF46F9">
        <w:rPr>
          <w:rFonts w:ascii="Verdana" w:hAnsi="Verdana"/>
          <w:sz w:val="16"/>
          <w:szCs w:val="16"/>
          <w:u w:val="single"/>
        </w:rPr>
        <w:tab/>
      </w:r>
      <m:oMath>
        <m:r>
          <w:rPr>
            <w:rFonts w:ascii="Cambria Math" w:hAnsi="Cambria Math"/>
            <w:sz w:val="16"/>
            <w:szCs w:val="16"/>
          </w:rPr>
          <m:t>z</m:t>
        </m:r>
      </m:oMath>
    </w:p>
    <w:p w:rsidR="00DF46F9" w:rsidRPr="00DF46F9" w:rsidRDefault="00DF46F9" w:rsidP="00DF46F9">
      <w:pPr>
        <w:rPr>
          <w:rFonts w:ascii="Verdana" w:hAnsi="Verdana"/>
          <w:sz w:val="16"/>
          <w:szCs w:val="16"/>
        </w:rPr>
      </w:pPr>
      <w:r w:rsidRPr="00DF46F9">
        <w:rPr>
          <w:rFonts w:ascii="Verdana" w:hAnsi="Verdana"/>
          <w:sz w:val="16"/>
          <w:szCs w:val="16"/>
        </w:rPr>
        <w:t>50</w:t>
      </w:r>
      <w:r w:rsidRPr="00DF46F9">
        <w:rPr>
          <w:rFonts w:ascii="Verdana" w:hAnsi="Verdana"/>
          <w:sz w:val="16"/>
          <w:szCs w:val="16"/>
        </w:rPr>
        <w:tab/>
      </w:r>
      <w:r w:rsidRPr="00DF46F9">
        <w:rPr>
          <w:rFonts w:ascii="Verdana" w:hAnsi="Verdana"/>
          <w:sz w:val="16"/>
          <w:szCs w:val="16"/>
        </w:rPr>
        <w:tab/>
      </w:r>
      <w:r w:rsidRPr="00DF46F9">
        <w:rPr>
          <w:rFonts w:ascii="Verdana" w:hAnsi="Verdana"/>
          <w:sz w:val="16"/>
          <w:szCs w:val="16"/>
        </w:rPr>
        <w:tab/>
        <w:t>0,67</w:t>
      </w:r>
    </w:p>
    <w:p w:rsidR="00DF46F9" w:rsidRPr="00DF46F9" w:rsidRDefault="00DF46F9" w:rsidP="00DF46F9">
      <w:pPr>
        <w:rPr>
          <w:rFonts w:ascii="Verdana" w:hAnsi="Verdana"/>
          <w:sz w:val="16"/>
          <w:szCs w:val="16"/>
        </w:rPr>
      </w:pPr>
      <w:r w:rsidRPr="00DF46F9">
        <w:rPr>
          <w:rFonts w:ascii="Verdana" w:hAnsi="Verdana"/>
          <w:sz w:val="16"/>
          <w:szCs w:val="16"/>
        </w:rPr>
        <w:t>68</w:t>
      </w:r>
      <w:r w:rsidRPr="00DF46F9">
        <w:rPr>
          <w:rFonts w:ascii="Verdana" w:hAnsi="Verdana"/>
          <w:sz w:val="16"/>
          <w:szCs w:val="16"/>
        </w:rPr>
        <w:tab/>
      </w:r>
      <w:r w:rsidRPr="00DF46F9">
        <w:rPr>
          <w:rFonts w:ascii="Verdana" w:hAnsi="Verdana"/>
          <w:sz w:val="16"/>
          <w:szCs w:val="16"/>
        </w:rPr>
        <w:tab/>
      </w:r>
      <w:r w:rsidRPr="00DF46F9">
        <w:rPr>
          <w:rFonts w:ascii="Verdana" w:hAnsi="Verdana"/>
          <w:sz w:val="16"/>
          <w:szCs w:val="16"/>
        </w:rPr>
        <w:tab/>
        <w:t>1,00</w:t>
      </w:r>
    </w:p>
    <w:p w:rsidR="00DF46F9" w:rsidRPr="00DF46F9" w:rsidRDefault="00DF46F9" w:rsidP="00DF46F9">
      <w:pPr>
        <w:rPr>
          <w:rFonts w:ascii="Verdana" w:hAnsi="Verdana"/>
          <w:sz w:val="16"/>
          <w:szCs w:val="16"/>
        </w:rPr>
      </w:pPr>
      <w:r w:rsidRPr="00DF46F9">
        <w:rPr>
          <w:rFonts w:ascii="Verdana" w:hAnsi="Verdana"/>
          <w:sz w:val="16"/>
          <w:szCs w:val="16"/>
        </w:rPr>
        <w:t>80</w:t>
      </w:r>
      <w:r w:rsidRPr="00DF46F9">
        <w:rPr>
          <w:rFonts w:ascii="Verdana" w:hAnsi="Verdana"/>
          <w:sz w:val="16"/>
          <w:szCs w:val="16"/>
        </w:rPr>
        <w:tab/>
      </w:r>
      <w:r w:rsidRPr="00DF46F9">
        <w:rPr>
          <w:rFonts w:ascii="Verdana" w:hAnsi="Verdana"/>
          <w:sz w:val="16"/>
          <w:szCs w:val="16"/>
        </w:rPr>
        <w:tab/>
      </w:r>
      <w:r w:rsidRPr="00DF46F9">
        <w:rPr>
          <w:rFonts w:ascii="Verdana" w:hAnsi="Verdana"/>
          <w:sz w:val="16"/>
          <w:szCs w:val="16"/>
        </w:rPr>
        <w:tab/>
        <w:t>1,28</w:t>
      </w:r>
    </w:p>
    <w:p w:rsidR="00DF46F9" w:rsidRPr="00DF46F9" w:rsidRDefault="00DF46F9" w:rsidP="00DF46F9">
      <w:pPr>
        <w:rPr>
          <w:rFonts w:ascii="Verdana" w:hAnsi="Verdana"/>
          <w:sz w:val="16"/>
          <w:szCs w:val="16"/>
        </w:rPr>
      </w:pPr>
      <w:r w:rsidRPr="00DF46F9">
        <w:rPr>
          <w:rFonts w:ascii="Verdana" w:hAnsi="Verdana"/>
          <w:sz w:val="16"/>
          <w:szCs w:val="16"/>
        </w:rPr>
        <w:t>95</w:t>
      </w:r>
      <w:r w:rsidRPr="00DF46F9">
        <w:rPr>
          <w:rFonts w:ascii="Verdana" w:hAnsi="Verdana"/>
          <w:sz w:val="16"/>
          <w:szCs w:val="16"/>
        </w:rPr>
        <w:tab/>
      </w:r>
      <w:r w:rsidRPr="00DF46F9">
        <w:rPr>
          <w:rFonts w:ascii="Verdana" w:hAnsi="Verdana"/>
          <w:sz w:val="16"/>
          <w:szCs w:val="16"/>
        </w:rPr>
        <w:tab/>
      </w:r>
      <w:r w:rsidRPr="00DF46F9">
        <w:rPr>
          <w:rFonts w:ascii="Verdana" w:hAnsi="Verdana"/>
          <w:sz w:val="16"/>
          <w:szCs w:val="16"/>
        </w:rPr>
        <w:tab/>
        <w:t>1,96</w:t>
      </w:r>
    </w:p>
    <w:p w:rsidR="00DF46F9" w:rsidRPr="00DF46F9" w:rsidRDefault="00DF46F9" w:rsidP="00DF46F9">
      <w:pPr>
        <w:rPr>
          <w:rFonts w:ascii="Verdana" w:hAnsi="Verdana"/>
          <w:sz w:val="16"/>
          <w:szCs w:val="16"/>
        </w:rPr>
      </w:pPr>
      <w:r w:rsidRPr="00DF46F9">
        <w:rPr>
          <w:rFonts w:ascii="Verdana" w:hAnsi="Verdana"/>
          <w:sz w:val="16"/>
          <w:szCs w:val="16"/>
        </w:rPr>
        <w:t>95,4</w:t>
      </w:r>
      <w:r w:rsidRPr="00DF46F9">
        <w:rPr>
          <w:rFonts w:ascii="Verdana" w:hAnsi="Verdana"/>
          <w:sz w:val="16"/>
          <w:szCs w:val="16"/>
        </w:rPr>
        <w:tab/>
      </w:r>
      <w:r w:rsidRPr="00DF46F9">
        <w:rPr>
          <w:rFonts w:ascii="Verdana" w:hAnsi="Verdana"/>
          <w:sz w:val="16"/>
          <w:szCs w:val="16"/>
        </w:rPr>
        <w:tab/>
      </w:r>
      <w:r w:rsidRPr="00DF46F9">
        <w:rPr>
          <w:rFonts w:ascii="Verdana" w:hAnsi="Verdana"/>
          <w:sz w:val="16"/>
          <w:szCs w:val="16"/>
        </w:rPr>
        <w:tab/>
        <w:t>2,00</w:t>
      </w:r>
    </w:p>
    <w:p w:rsidR="00DF46F9" w:rsidRPr="00DF46F9" w:rsidRDefault="00DF46F9" w:rsidP="00DF46F9">
      <w:pPr>
        <w:rPr>
          <w:rFonts w:ascii="Verdana" w:hAnsi="Verdana"/>
          <w:sz w:val="16"/>
          <w:szCs w:val="16"/>
        </w:rPr>
      </w:pPr>
      <w:r w:rsidRPr="00DF46F9">
        <w:rPr>
          <w:rFonts w:ascii="Verdana" w:hAnsi="Verdana"/>
          <w:sz w:val="16"/>
          <w:szCs w:val="16"/>
        </w:rPr>
        <w:t>99,7</w:t>
      </w:r>
      <w:r w:rsidRPr="00DF46F9">
        <w:rPr>
          <w:rFonts w:ascii="Verdana" w:hAnsi="Verdana"/>
          <w:sz w:val="16"/>
          <w:szCs w:val="16"/>
        </w:rPr>
        <w:tab/>
      </w:r>
      <w:r w:rsidRPr="00DF46F9">
        <w:rPr>
          <w:rFonts w:ascii="Verdana" w:hAnsi="Verdana"/>
          <w:sz w:val="16"/>
          <w:szCs w:val="16"/>
        </w:rPr>
        <w:tab/>
      </w:r>
      <w:r w:rsidRPr="00DF46F9">
        <w:rPr>
          <w:rFonts w:ascii="Verdana" w:hAnsi="Verdana"/>
          <w:sz w:val="16"/>
          <w:szCs w:val="16"/>
        </w:rPr>
        <w:tab/>
        <w:t>3,00</w:t>
      </w:r>
    </w:p>
    <w:p w:rsidR="00DF46F9" w:rsidRPr="00DF46F9" w:rsidRDefault="00DF46F9" w:rsidP="00DF46F9">
      <w:pPr>
        <w:rPr>
          <w:rFonts w:ascii="Verdana" w:hAnsi="Verdana"/>
          <w:sz w:val="16"/>
          <w:szCs w:val="16"/>
        </w:rPr>
      </w:pPr>
      <w:r w:rsidRPr="00DF46F9">
        <w:rPr>
          <w:rFonts w:ascii="Verdana" w:hAnsi="Verdana"/>
          <w:sz w:val="16"/>
          <w:szCs w:val="16"/>
        </w:rPr>
        <w:t>99,9</w:t>
      </w:r>
      <w:r w:rsidRPr="00DF46F9">
        <w:rPr>
          <w:rFonts w:ascii="Verdana" w:hAnsi="Verdana"/>
          <w:sz w:val="16"/>
          <w:szCs w:val="16"/>
        </w:rPr>
        <w:tab/>
      </w:r>
      <w:r w:rsidRPr="00DF46F9">
        <w:rPr>
          <w:rFonts w:ascii="Verdana" w:hAnsi="Verdana"/>
          <w:sz w:val="16"/>
          <w:szCs w:val="16"/>
        </w:rPr>
        <w:tab/>
      </w:r>
      <w:r w:rsidRPr="00DF46F9">
        <w:rPr>
          <w:rFonts w:ascii="Verdana" w:hAnsi="Verdana"/>
          <w:sz w:val="16"/>
          <w:szCs w:val="16"/>
        </w:rPr>
        <w:tab/>
        <w:t>3,29</w:t>
      </w:r>
    </w:p>
    <w:p w:rsidR="00DF46F9" w:rsidRPr="00DF46F9" w:rsidRDefault="00DF46F9" w:rsidP="00DF46F9">
      <w:pPr>
        <w:rPr>
          <w:rFonts w:ascii="Verdana" w:hAnsi="Verdana"/>
          <w:sz w:val="16"/>
          <w:szCs w:val="16"/>
        </w:rPr>
      </w:pPr>
    </w:p>
    <w:p w:rsidR="00DF46F9" w:rsidRPr="00DF46F9" w:rsidRDefault="00DF46F9" w:rsidP="00DF46F9">
      <w:pPr>
        <w:rPr>
          <w:rFonts w:ascii="Verdana" w:hAnsi="Verdana"/>
          <w:b/>
          <w:sz w:val="16"/>
          <w:szCs w:val="16"/>
        </w:rPr>
      </w:pPr>
      <w:r w:rsidRPr="00DF46F9">
        <w:rPr>
          <w:rFonts w:ascii="Verdana" w:hAnsi="Verdana" w:cstheme="minorHAnsi"/>
          <w:b/>
          <w:sz w:val="16"/>
          <w:szCs w:val="16"/>
        </w:rPr>
        <w:t>σ</w:t>
      </w:r>
      <w:r w:rsidRPr="00DF46F9">
        <w:rPr>
          <w:rFonts w:ascii="Verdana" w:hAnsi="Verdana"/>
          <w:b/>
          <w:sz w:val="16"/>
          <w:szCs w:val="16"/>
        </w:rPr>
        <w:t xml:space="preserve"> Bilinmiyorken </w:t>
      </w:r>
      <w:r w:rsidRPr="00DF46F9">
        <w:rPr>
          <w:rFonts w:ascii="Verdana" w:eastAsiaTheme="minorEastAsia" w:hAnsi="Verdana"/>
          <w:b/>
          <w:sz w:val="16"/>
          <w:szCs w:val="16"/>
        </w:rPr>
        <w:t>güven aralığı</w:t>
      </w:r>
    </w:p>
    <w:p w:rsidR="00DF46F9" w:rsidRPr="00DF46F9" w:rsidRDefault="00DF46F9" w:rsidP="00DF46F9">
      <w:pPr>
        <w:rPr>
          <w:rFonts w:ascii="Verdana" w:eastAsiaTheme="minorEastAsia" w:hAnsi="Verdana"/>
          <w:sz w:val="16"/>
          <w:szCs w:val="16"/>
        </w:rPr>
      </w:pPr>
      <w:r w:rsidRPr="00DF46F9">
        <w:rPr>
          <w:rFonts w:ascii="Verdana" w:hAnsi="Verdana" w:cstheme="minorHAnsi"/>
          <w:sz w:val="16"/>
          <w:szCs w:val="16"/>
        </w:rPr>
        <w:t>σ</w:t>
      </w:r>
      <w:r w:rsidRPr="00DF46F9">
        <w:rPr>
          <w:rFonts w:ascii="Verdana" w:hAnsi="Verdana"/>
          <w:sz w:val="16"/>
          <w:szCs w:val="16"/>
        </w:rPr>
        <w:t xml:space="preserve"> Hakkında daha önceki tecrübelere dayalı olarak bir bilgimiz </w:t>
      </w:r>
      <w:proofErr w:type="gramStart"/>
      <w:r w:rsidRPr="00DF46F9">
        <w:rPr>
          <w:rFonts w:ascii="Verdana" w:hAnsi="Verdana"/>
          <w:sz w:val="16"/>
          <w:szCs w:val="16"/>
        </w:rPr>
        <w:t>yoksa,</w:t>
      </w:r>
      <w:proofErr w:type="gramEnd"/>
      <w:r w:rsidRPr="00DF46F9">
        <w:rPr>
          <w:rFonts w:ascii="Verdana" w:hAnsi="Verdana"/>
          <w:sz w:val="16"/>
          <w:szCs w:val="16"/>
        </w:rPr>
        <w:t xml:space="preserve"> güven aralığının bulunmasında </w:t>
      </w:r>
      <m:oMath>
        <m:r>
          <w:rPr>
            <w:rFonts w:ascii="Cambria Math" w:hAnsi="Cambria Math"/>
            <w:sz w:val="16"/>
            <w:szCs w:val="16"/>
          </w:rPr>
          <m:t>z</m:t>
        </m:r>
      </m:oMath>
      <w:r w:rsidRPr="00DF46F9">
        <w:rPr>
          <w:rFonts w:ascii="Verdana" w:eastAsiaTheme="minorEastAsia" w:hAnsi="Verdana"/>
          <w:sz w:val="16"/>
          <w:szCs w:val="16"/>
        </w:rPr>
        <w:t xml:space="preserve"> istatistiğine biraz benzer şekilde </w:t>
      </w:r>
      <m:oMath>
        <m:r>
          <w:rPr>
            <w:rFonts w:ascii="Cambria Math" w:hAnsi="Cambria Math"/>
            <w:sz w:val="16"/>
            <w:szCs w:val="16"/>
          </w:rPr>
          <m:t>t</m:t>
        </m:r>
      </m:oMath>
      <w:r w:rsidRPr="00DF46F9">
        <w:rPr>
          <w:rFonts w:ascii="Verdana" w:eastAsiaTheme="minorEastAsia" w:hAnsi="Verdana"/>
          <w:sz w:val="16"/>
          <w:szCs w:val="16"/>
        </w:rPr>
        <w:t xml:space="preserve"> istatistiği kullanılır. Tek bir ölçüm için </w:t>
      </w:r>
      <m:oMath>
        <m:r>
          <w:rPr>
            <w:rFonts w:ascii="Cambria Math" w:hAnsi="Cambria Math"/>
            <w:sz w:val="16"/>
            <w:szCs w:val="16"/>
          </w:rPr>
          <m:t>t</m:t>
        </m:r>
      </m:oMath>
      <w:r w:rsidRPr="00DF46F9">
        <w:rPr>
          <w:rFonts w:ascii="Verdana" w:eastAsiaTheme="minorEastAsia" w:hAnsi="Verdana"/>
          <w:sz w:val="16"/>
          <w:szCs w:val="16"/>
        </w:rPr>
        <w:t xml:space="preserve"> değeri;</w:t>
      </w:r>
    </w:p>
    <w:p w:rsidR="00DF46F9" w:rsidRPr="00DF46F9" w:rsidRDefault="00DF46F9" w:rsidP="00DF46F9">
      <w:pPr>
        <w:rPr>
          <w:rFonts w:ascii="Verdana" w:hAnsi="Verdana"/>
          <w:sz w:val="16"/>
          <w:szCs w:val="16"/>
        </w:rPr>
      </w:pPr>
      <m:oMathPara>
        <m:oMath>
          <m:r>
            <w:rPr>
              <w:rFonts w:ascii="Cambria Math" w:hAnsi="Cambria Math"/>
              <w:sz w:val="16"/>
              <w:szCs w:val="16"/>
            </w:rPr>
            <m:t>t=</m:t>
          </m:r>
          <m:f>
            <m:fPr>
              <m:ctrlPr>
                <w:rPr>
                  <w:rFonts w:ascii="Cambria Math" w:hAnsi="Cambria Math"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/>
                  <w:sz w:val="16"/>
                  <w:szCs w:val="16"/>
                </w:rPr>
                <m:t>x-μ</m:t>
              </m:r>
            </m:num>
            <m:den>
              <m:r>
                <w:rPr>
                  <w:rFonts w:ascii="Cambria Math" w:hAnsi="Cambria Math"/>
                  <w:sz w:val="16"/>
                  <w:szCs w:val="16"/>
                </w:rPr>
                <m:t>s</m:t>
              </m:r>
            </m:den>
          </m:f>
        </m:oMath>
      </m:oMathPara>
    </w:p>
    <w:p w:rsidR="00DF46F9" w:rsidRPr="00DF46F9" w:rsidRDefault="00DF46F9" w:rsidP="00DF46F9">
      <w:pPr>
        <w:rPr>
          <w:rFonts w:ascii="Verdana" w:eastAsiaTheme="minorEastAsia" w:hAnsi="Verdana"/>
          <w:sz w:val="16"/>
          <w:szCs w:val="16"/>
        </w:rPr>
      </w:pPr>
      <w:r w:rsidRPr="00DF46F9">
        <w:rPr>
          <w:rFonts w:ascii="Verdana" w:hAnsi="Verdana"/>
          <w:sz w:val="16"/>
          <w:szCs w:val="16"/>
        </w:rPr>
        <w:t xml:space="preserve">N tane ölçüm için </w:t>
      </w:r>
      <m:oMath>
        <m:r>
          <w:rPr>
            <w:rFonts w:ascii="Cambria Math" w:hAnsi="Cambria Math"/>
            <w:sz w:val="16"/>
            <w:szCs w:val="16"/>
          </w:rPr>
          <m:t>t</m:t>
        </m:r>
      </m:oMath>
      <w:r w:rsidRPr="00DF46F9">
        <w:rPr>
          <w:rFonts w:ascii="Verdana" w:eastAsiaTheme="minorEastAsia" w:hAnsi="Verdana"/>
          <w:sz w:val="16"/>
          <w:szCs w:val="16"/>
        </w:rPr>
        <w:t xml:space="preserve"> değeri ise;</w:t>
      </w:r>
    </w:p>
    <w:p w:rsidR="00DF46F9" w:rsidRPr="00DF46F9" w:rsidRDefault="00DF46F9" w:rsidP="00DF46F9">
      <w:pPr>
        <w:rPr>
          <w:rFonts w:ascii="Verdana" w:hAnsi="Verdana"/>
          <w:sz w:val="16"/>
          <w:szCs w:val="16"/>
        </w:rPr>
      </w:pPr>
      <m:oMathPara>
        <m:oMath>
          <m:r>
            <w:rPr>
              <w:rFonts w:ascii="Cambria Math" w:hAnsi="Cambria Math"/>
              <w:sz w:val="16"/>
              <w:szCs w:val="16"/>
            </w:rPr>
            <m:t>t=</m:t>
          </m:r>
          <m:f>
            <m:fPr>
              <m:ctrlPr>
                <w:rPr>
                  <w:rFonts w:ascii="Cambria Math" w:hAnsi="Cambria Math"/>
                  <w:sz w:val="16"/>
                  <w:szCs w:val="16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x</m:t>
                  </m:r>
                </m:e>
              </m:acc>
              <m:r>
                <w:rPr>
                  <w:rFonts w:ascii="Cambria Math" w:hAnsi="Cambria Math"/>
                  <w:sz w:val="16"/>
                  <w:szCs w:val="16"/>
                </w:rPr>
                <m:t>-μ</m:t>
              </m:r>
            </m:num>
            <m:den>
              <m:f>
                <m:fPr>
                  <m:type m:val="lin"/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s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N</m:t>
                      </m:r>
                    </m:e>
                  </m:rad>
                </m:den>
              </m:f>
            </m:den>
          </m:f>
        </m:oMath>
      </m:oMathPara>
    </w:p>
    <w:p w:rsidR="00DF46F9" w:rsidRPr="00DF46F9" w:rsidRDefault="00DF46F9" w:rsidP="00DF46F9">
      <w:pPr>
        <w:rPr>
          <w:rFonts w:ascii="Verdana" w:hAnsi="Verdana"/>
          <w:sz w:val="16"/>
          <w:szCs w:val="16"/>
        </w:rPr>
      </w:pPr>
      <w:r w:rsidRPr="00DF46F9">
        <w:rPr>
          <w:rFonts w:ascii="Verdana" w:hAnsi="Verdana"/>
          <w:sz w:val="16"/>
          <w:szCs w:val="16"/>
        </w:rPr>
        <w:t>Eşitliklerinden hesaplanır. Buna göre N ölçümün ortalaması (</w:t>
      </w:r>
      <m:oMath>
        <m:acc>
          <m:accPr>
            <m:chr m:val="̅"/>
            <m:ctrlPr>
              <w:rPr>
                <w:rFonts w:ascii="Cambria Math" w:hAnsi="Cambria Math"/>
                <w:sz w:val="16"/>
                <w:szCs w:val="16"/>
              </w:rPr>
            </m:ctrlPr>
          </m:accPr>
          <m:e>
            <m:r>
              <w:rPr>
                <w:rFonts w:ascii="Cambria Math" w:hAnsi="Cambria Math"/>
                <w:sz w:val="16"/>
                <w:szCs w:val="16"/>
              </w:rPr>
              <m:t>x</m:t>
            </m:r>
          </m:e>
        </m:acc>
      </m:oMath>
      <w:r w:rsidRPr="00DF46F9">
        <w:rPr>
          <w:rFonts w:ascii="Verdana" w:hAnsi="Verdana"/>
          <w:sz w:val="16"/>
          <w:szCs w:val="16"/>
        </w:rPr>
        <w:t xml:space="preserve">) için güven aralığı aşağıdaki eşitlikten hesaplanabilir. </w:t>
      </w:r>
    </w:p>
    <w:p w:rsidR="00DF46F9" w:rsidRPr="00DF46F9" w:rsidRDefault="00DF46F9" w:rsidP="00DF46F9">
      <w:pPr>
        <w:rPr>
          <w:rFonts w:ascii="Verdana" w:hAnsi="Verdana"/>
          <w:b/>
          <w:sz w:val="16"/>
          <w:szCs w:val="16"/>
        </w:rPr>
      </w:pPr>
      <w:r w:rsidRPr="00DF46F9">
        <w:rPr>
          <w:rFonts w:ascii="Verdana" w:eastAsiaTheme="minorEastAsia" w:hAnsi="Verdana" w:cstheme="minorHAnsi"/>
          <w:b/>
          <w:sz w:val="16"/>
          <w:szCs w:val="16"/>
        </w:rPr>
        <w:t>µ</w:t>
      </w:r>
      <w:r w:rsidRPr="00DF46F9">
        <w:rPr>
          <w:rFonts w:ascii="Verdana" w:eastAsiaTheme="minorEastAsia" w:hAnsi="Verdana"/>
          <w:b/>
          <w:sz w:val="16"/>
          <w:szCs w:val="16"/>
        </w:rPr>
        <w:t xml:space="preserve"> için GA = </w:t>
      </w:r>
      <m:oMath>
        <m:acc>
          <m:accPr>
            <m:chr m:val="̅"/>
            <m:ctrlPr>
              <w:rPr>
                <w:rFonts w:ascii="Cambria Math" w:hAnsi="Cambria Math"/>
                <w:sz w:val="16"/>
                <w:szCs w:val="16"/>
              </w:rPr>
            </m:ctrlPr>
          </m:accPr>
          <m:e>
            <m:r>
              <w:rPr>
                <w:rFonts w:ascii="Cambria Math" w:hAnsi="Cambria Math"/>
                <w:sz w:val="16"/>
                <w:szCs w:val="16"/>
              </w:rPr>
              <m:t>x</m:t>
            </m:r>
          </m:e>
        </m:acc>
        <m:r>
          <w:rPr>
            <w:rFonts w:ascii="Cambria Math" w:hAnsi="Cambria Math"/>
            <w:sz w:val="16"/>
            <w:szCs w:val="16"/>
          </w:rPr>
          <m:t>∓</m:t>
        </m:r>
        <m:f>
          <m:fPr>
            <m:ctrlPr>
              <w:rPr>
                <w:rFonts w:ascii="Cambria Math" w:hAnsi="Cambria Math"/>
                <w:sz w:val="16"/>
                <w:szCs w:val="16"/>
              </w:rPr>
            </m:ctrlPr>
          </m:fPr>
          <m:num>
            <m:r>
              <w:rPr>
                <w:rFonts w:ascii="Cambria Math" w:hAnsi="Cambria Math"/>
                <w:sz w:val="16"/>
                <w:szCs w:val="16"/>
              </w:rPr>
              <m:t>ts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6"/>
                    <w:szCs w:val="1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16"/>
                    <w:szCs w:val="16"/>
                  </w:rPr>
                  <m:t>N</m:t>
                </m:r>
              </m:e>
            </m:rad>
          </m:den>
        </m:f>
      </m:oMath>
    </w:p>
    <w:p w:rsidR="00DF46F9" w:rsidRDefault="00DF46F9" w:rsidP="00DF46F9">
      <w:pPr>
        <w:rPr>
          <w:rFonts w:ascii="Verdana" w:eastAsiaTheme="minorEastAsia" w:hAnsi="Verdana"/>
          <w:sz w:val="16"/>
          <w:szCs w:val="16"/>
        </w:rPr>
      </w:pPr>
      <m:oMath>
        <m:r>
          <w:rPr>
            <w:rFonts w:ascii="Cambria Math" w:hAnsi="Cambria Math"/>
            <w:sz w:val="16"/>
            <w:szCs w:val="16"/>
          </w:rPr>
          <m:t>t</m:t>
        </m:r>
      </m:oMath>
      <w:r w:rsidRPr="00DF46F9">
        <w:rPr>
          <w:rFonts w:ascii="Verdana" w:eastAsiaTheme="minorEastAsia" w:hAnsi="Verdana"/>
          <w:sz w:val="16"/>
          <w:szCs w:val="16"/>
        </w:rPr>
        <w:t xml:space="preserve"> </w:t>
      </w:r>
      <w:proofErr w:type="gramStart"/>
      <w:r w:rsidRPr="00DF46F9">
        <w:rPr>
          <w:rFonts w:ascii="Verdana" w:eastAsiaTheme="minorEastAsia" w:hAnsi="Verdana"/>
          <w:sz w:val="16"/>
          <w:szCs w:val="16"/>
        </w:rPr>
        <w:t>değerleri</w:t>
      </w:r>
      <w:proofErr w:type="gramEnd"/>
      <w:r w:rsidRPr="00DF46F9">
        <w:rPr>
          <w:rFonts w:ascii="Verdana" w:eastAsiaTheme="minorEastAsia" w:hAnsi="Verdana"/>
          <w:sz w:val="16"/>
          <w:szCs w:val="16"/>
        </w:rPr>
        <w:t xml:space="preserve"> farklı olasılık seviyeleri ve farklı serbestlik dereceleri için çizelgelerde verilmiştir.</w:t>
      </w:r>
    </w:p>
    <w:p w:rsidR="00857FE7" w:rsidRPr="00DF46F9" w:rsidRDefault="00857FE7" w:rsidP="00DF46F9">
      <w:pPr>
        <w:rPr>
          <w:rFonts w:ascii="Verdana" w:eastAsiaTheme="minorEastAsia" w:hAnsi="Verdana"/>
          <w:sz w:val="16"/>
          <w:szCs w:val="16"/>
        </w:rPr>
      </w:pPr>
      <w:bookmarkStart w:id="0" w:name="_GoBack"/>
      <w:bookmarkEnd w:id="0"/>
    </w:p>
    <w:p w:rsidR="00DF46F9" w:rsidRPr="00DF46F9" w:rsidRDefault="00DF46F9" w:rsidP="00DF46F9">
      <w:pPr>
        <w:rPr>
          <w:rFonts w:ascii="Verdana" w:eastAsiaTheme="minorEastAsia" w:hAnsi="Verdana"/>
          <w:sz w:val="16"/>
          <w:szCs w:val="16"/>
        </w:rPr>
      </w:pPr>
    </w:p>
    <w:p w:rsidR="00DF46F9" w:rsidRPr="00DF46F9" w:rsidRDefault="00DF46F9" w:rsidP="00DF46F9">
      <w:pPr>
        <w:rPr>
          <w:rFonts w:ascii="Verdana" w:eastAsiaTheme="minorEastAsia" w:hAnsi="Verdana"/>
          <w:sz w:val="16"/>
          <w:szCs w:val="16"/>
          <w:u w:val="single"/>
        </w:rPr>
      </w:pPr>
      <w:r w:rsidRPr="00DF46F9">
        <w:rPr>
          <w:rFonts w:ascii="Verdana" w:eastAsiaTheme="minorEastAsia" w:hAnsi="Verdana"/>
          <w:sz w:val="16"/>
          <w:szCs w:val="16"/>
          <w:u w:val="single"/>
        </w:rPr>
        <w:lastRenderedPageBreak/>
        <w:t>Serbestlik derecesi</w:t>
      </w:r>
      <w:r w:rsidRPr="00DF46F9">
        <w:rPr>
          <w:rFonts w:ascii="Verdana" w:eastAsiaTheme="minorEastAsia" w:hAnsi="Verdana"/>
          <w:sz w:val="16"/>
          <w:szCs w:val="16"/>
          <w:u w:val="single"/>
        </w:rPr>
        <w:tab/>
        <w:t>%80</w:t>
      </w:r>
      <w:r w:rsidRPr="00DF46F9">
        <w:rPr>
          <w:rFonts w:ascii="Verdana" w:eastAsiaTheme="minorEastAsia" w:hAnsi="Verdana"/>
          <w:sz w:val="16"/>
          <w:szCs w:val="16"/>
          <w:u w:val="single"/>
        </w:rPr>
        <w:tab/>
      </w:r>
      <w:r w:rsidRPr="00DF46F9">
        <w:rPr>
          <w:rFonts w:ascii="Verdana" w:eastAsiaTheme="minorEastAsia" w:hAnsi="Verdana"/>
          <w:sz w:val="16"/>
          <w:szCs w:val="16"/>
          <w:u w:val="single"/>
        </w:rPr>
        <w:tab/>
        <w:t>%90</w:t>
      </w:r>
      <w:r w:rsidRPr="00DF46F9">
        <w:rPr>
          <w:rFonts w:ascii="Verdana" w:eastAsiaTheme="minorEastAsia" w:hAnsi="Verdana"/>
          <w:sz w:val="16"/>
          <w:szCs w:val="16"/>
          <w:u w:val="single"/>
        </w:rPr>
        <w:tab/>
      </w:r>
      <w:r w:rsidRPr="00DF46F9">
        <w:rPr>
          <w:rFonts w:ascii="Verdana" w:eastAsiaTheme="minorEastAsia" w:hAnsi="Verdana"/>
          <w:sz w:val="16"/>
          <w:szCs w:val="16"/>
          <w:u w:val="single"/>
        </w:rPr>
        <w:tab/>
        <w:t>%95</w:t>
      </w:r>
      <w:r w:rsidRPr="00DF46F9">
        <w:rPr>
          <w:rFonts w:ascii="Verdana" w:eastAsiaTheme="minorEastAsia" w:hAnsi="Verdana"/>
          <w:sz w:val="16"/>
          <w:szCs w:val="16"/>
          <w:u w:val="single"/>
        </w:rPr>
        <w:tab/>
      </w:r>
      <w:r w:rsidRPr="00DF46F9">
        <w:rPr>
          <w:rFonts w:ascii="Verdana" w:eastAsiaTheme="minorEastAsia" w:hAnsi="Verdana"/>
          <w:sz w:val="16"/>
          <w:szCs w:val="16"/>
          <w:u w:val="single"/>
        </w:rPr>
        <w:tab/>
        <w:t>%99</w:t>
      </w:r>
      <w:r w:rsidRPr="00DF46F9">
        <w:rPr>
          <w:rFonts w:ascii="Verdana" w:eastAsiaTheme="minorEastAsia" w:hAnsi="Verdana"/>
          <w:sz w:val="16"/>
          <w:szCs w:val="16"/>
          <w:u w:val="single"/>
        </w:rPr>
        <w:tab/>
      </w:r>
      <w:r w:rsidRPr="00DF46F9">
        <w:rPr>
          <w:rFonts w:ascii="Verdana" w:eastAsiaTheme="minorEastAsia" w:hAnsi="Verdana"/>
          <w:sz w:val="16"/>
          <w:szCs w:val="16"/>
          <w:u w:val="single"/>
        </w:rPr>
        <w:tab/>
        <w:t>%99,9</w:t>
      </w:r>
    </w:p>
    <w:p w:rsidR="00DF46F9" w:rsidRPr="00DF46F9" w:rsidRDefault="00DF46F9" w:rsidP="00DF46F9">
      <w:pPr>
        <w:rPr>
          <w:rFonts w:ascii="Verdana" w:eastAsiaTheme="minorEastAsia" w:hAnsi="Verdana"/>
          <w:sz w:val="16"/>
          <w:szCs w:val="16"/>
        </w:rPr>
      </w:pPr>
      <w:r w:rsidRPr="00DF46F9">
        <w:rPr>
          <w:rFonts w:ascii="Verdana" w:eastAsiaTheme="minorEastAsia" w:hAnsi="Verdana"/>
          <w:sz w:val="16"/>
          <w:szCs w:val="16"/>
        </w:rPr>
        <w:t>1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3,08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6,31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12,7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63,7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637</w:t>
      </w:r>
    </w:p>
    <w:p w:rsidR="00DF46F9" w:rsidRPr="00DF46F9" w:rsidRDefault="00DF46F9" w:rsidP="00DF46F9">
      <w:pPr>
        <w:rPr>
          <w:rFonts w:ascii="Verdana" w:eastAsiaTheme="minorEastAsia" w:hAnsi="Verdana"/>
          <w:sz w:val="16"/>
          <w:szCs w:val="16"/>
        </w:rPr>
      </w:pPr>
      <w:r w:rsidRPr="00DF46F9">
        <w:rPr>
          <w:rFonts w:ascii="Verdana" w:eastAsiaTheme="minorEastAsia" w:hAnsi="Verdana"/>
          <w:sz w:val="16"/>
          <w:szCs w:val="16"/>
        </w:rPr>
        <w:t>2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1,89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2,92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4,30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9,92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31,6</w:t>
      </w:r>
    </w:p>
    <w:p w:rsidR="00DF46F9" w:rsidRPr="00DF46F9" w:rsidRDefault="00DF46F9" w:rsidP="00DF46F9">
      <w:pPr>
        <w:rPr>
          <w:rFonts w:ascii="Verdana" w:eastAsiaTheme="minorEastAsia" w:hAnsi="Verdana"/>
          <w:sz w:val="16"/>
          <w:szCs w:val="16"/>
        </w:rPr>
      </w:pPr>
      <w:r w:rsidRPr="00DF46F9">
        <w:rPr>
          <w:rFonts w:ascii="Verdana" w:eastAsiaTheme="minorEastAsia" w:hAnsi="Verdana"/>
          <w:sz w:val="16"/>
          <w:szCs w:val="16"/>
        </w:rPr>
        <w:t>3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1,64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2,35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3,18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5,84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12,9</w:t>
      </w:r>
    </w:p>
    <w:p w:rsidR="00DF46F9" w:rsidRPr="00DF46F9" w:rsidRDefault="00DF46F9" w:rsidP="00DF46F9">
      <w:pPr>
        <w:rPr>
          <w:rFonts w:ascii="Verdana" w:eastAsiaTheme="minorEastAsia" w:hAnsi="Verdana"/>
          <w:sz w:val="16"/>
          <w:szCs w:val="16"/>
        </w:rPr>
      </w:pPr>
      <w:r w:rsidRPr="00DF46F9">
        <w:rPr>
          <w:rFonts w:ascii="Verdana" w:eastAsiaTheme="minorEastAsia" w:hAnsi="Verdana"/>
          <w:sz w:val="16"/>
          <w:szCs w:val="16"/>
        </w:rPr>
        <w:t>4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1,53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2,13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2,78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4,60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8,61</w:t>
      </w:r>
    </w:p>
    <w:p w:rsidR="00DF46F9" w:rsidRPr="00DF46F9" w:rsidRDefault="00DF46F9" w:rsidP="00DF46F9">
      <w:pPr>
        <w:rPr>
          <w:rFonts w:ascii="Verdana" w:eastAsiaTheme="minorEastAsia" w:hAnsi="Verdana"/>
          <w:sz w:val="16"/>
          <w:szCs w:val="16"/>
        </w:rPr>
      </w:pPr>
      <w:r w:rsidRPr="00DF46F9">
        <w:rPr>
          <w:rFonts w:ascii="Verdana" w:eastAsiaTheme="minorEastAsia" w:hAnsi="Verdana"/>
          <w:sz w:val="16"/>
          <w:szCs w:val="16"/>
        </w:rPr>
        <w:t>6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1,44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1,94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2,45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3,71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5,96</w:t>
      </w:r>
    </w:p>
    <w:p w:rsidR="00DF46F9" w:rsidRPr="00DF46F9" w:rsidRDefault="00DF46F9" w:rsidP="00DF46F9">
      <w:pPr>
        <w:rPr>
          <w:rFonts w:ascii="Verdana" w:eastAsiaTheme="minorEastAsia" w:hAnsi="Verdana"/>
          <w:sz w:val="16"/>
          <w:szCs w:val="16"/>
        </w:rPr>
      </w:pPr>
      <w:r w:rsidRPr="00DF46F9">
        <w:rPr>
          <w:rFonts w:ascii="Verdana" w:eastAsiaTheme="minorEastAsia" w:hAnsi="Verdana"/>
          <w:sz w:val="16"/>
          <w:szCs w:val="16"/>
        </w:rPr>
        <w:t>8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1,40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1,86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2,31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3,36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5,04</w:t>
      </w:r>
    </w:p>
    <w:p w:rsidR="00DF46F9" w:rsidRPr="00DF46F9" w:rsidRDefault="00DF46F9" w:rsidP="00DF46F9">
      <w:pPr>
        <w:rPr>
          <w:rFonts w:ascii="Verdana" w:eastAsiaTheme="minorEastAsia" w:hAnsi="Verdana"/>
          <w:sz w:val="16"/>
          <w:szCs w:val="16"/>
        </w:rPr>
      </w:pPr>
      <w:r w:rsidRPr="00DF46F9">
        <w:rPr>
          <w:rFonts w:ascii="Verdana" w:eastAsiaTheme="minorEastAsia" w:hAnsi="Verdana"/>
          <w:sz w:val="16"/>
          <w:szCs w:val="16"/>
        </w:rPr>
        <w:t>10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1,37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1,81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2,23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3,17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4,59</w:t>
      </w:r>
    </w:p>
    <w:p w:rsidR="00DF46F9" w:rsidRPr="00DF46F9" w:rsidRDefault="00DF46F9" w:rsidP="00DF46F9">
      <w:pPr>
        <w:rPr>
          <w:rFonts w:ascii="Verdana" w:eastAsiaTheme="minorEastAsia" w:hAnsi="Verdana"/>
          <w:sz w:val="16"/>
          <w:szCs w:val="16"/>
        </w:rPr>
      </w:pPr>
      <w:r w:rsidRPr="00DF46F9">
        <w:rPr>
          <w:rFonts w:ascii="Verdana" w:eastAsiaTheme="minorEastAsia" w:hAnsi="Verdana"/>
          <w:sz w:val="16"/>
          <w:szCs w:val="16"/>
        </w:rPr>
        <w:t>15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1,34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1,75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2,13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2,95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4,07</w:t>
      </w:r>
    </w:p>
    <w:p w:rsidR="00DF46F9" w:rsidRPr="00DF46F9" w:rsidRDefault="00DF46F9" w:rsidP="00DF46F9">
      <w:pPr>
        <w:rPr>
          <w:rFonts w:ascii="Verdana" w:eastAsiaTheme="minorEastAsia" w:hAnsi="Verdana"/>
          <w:sz w:val="16"/>
          <w:szCs w:val="16"/>
        </w:rPr>
      </w:pPr>
      <w:r w:rsidRPr="00DF46F9">
        <w:rPr>
          <w:rFonts w:ascii="Verdana" w:eastAsiaTheme="minorEastAsia" w:hAnsi="Verdana"/>
          <w:sz w:val="16"/>
          <w:szCs w:val="16"/>
        </w:rPr>
        <w:t>20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1,32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1,73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2,09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2,84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3,85</w:t>
      </w:r>
    </w:p>
    <w:p w:rsidR="00DF46F9" w:rsidRPr="00DF46F9" w:rsidRDefault="00DF46F9" w:rsidP="00DF46F9">
      <w:pPr>
        <w:rPr>
          <w:rFonts w:ascii="Verdana" w:eastAsiaTheme="minorEastAsia" w:hAnsi="Verdana"/>
          <w:sz w:val="16"/>
          <w:szCs w:val="16"/>
        </w:rPr>
      </w:pPr>
      <w:r w:rsidRPr="00DF46F9">
        <w:rPr>
          <w:rFonts w:ascii="Verdana" w:eastAsiaTheme="minorEastAsia" w:hAnsi="Verdana"/>
          <w:sz w:val="16"/>
          <w:szCs w:val="16"/>
        </w:rPr>
        <w:t>40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1,30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1,68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2,02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2,70</w:t>
      </w:r>
      <w:r w:rsidRPr="00DF46F9">
        <w:rPr>
          <w:rFonts w:ascii="Verdana" w:eastAsiaTheme="minorEastAsia" w:hAnsi="Verdana"/>
          <w:sz w:val="16"/>
          <w:szCs w:val="16"/>
        </w:rPr>
        <w:tab/>
      </w:r>
      <w:r w:rsidRPr="00DF46F9">
        <w:rPr>
          <w:rFonts w:ascii="Verdana" w:eastAsiaTheme="minorEastAsia" w:hAnsi="Verdana"/>
          <w:sz w:val="16"/>
          <w:szCs w:val="16"/>
        </w:rPr>
        <w:tab/>
        <w:t>3,55</w:t>
      </w:r>
    </w:p>
    <w:p w:rsidR="00DF46F9" w:rsidRPr="00DF46F9" w:rsidRDefault="00DF46F9" w:rsidP="00DF46F9">
      <w:pPr>
        <w:rPr>
          <w:rFonts w:ascii="Verdana" w:eastAsiaTheme="minorEastAsia" w:hAnsi="Verdana"/>
          <w:sz w:val="16"/>
          <w:szCs w:val="16"/>
        </w:rPr>
      </w:pPr>
      <w:r w:rsidRPr="00DF46F9">
        <w:rPr>
          <w:rFonts w:ascii="Verdana" w:eastAsiaTheme="minorEastAsia" w:hAnsi="Verdana" w:cstheme="minorHAnsi"/>
          <w:sz w:val="16"/>
          <w:szCs w:val="16"/>
        </w:rPr>
        <w:t>∞</w:t>
      </w:r>
      <w:r w:rsidRPr="00DF46F9">
        <w:rPr>
          <w:rFonts w:ascii="Verdana" w:eastAsiaTheme="minorEastAsia" w:hAnsi="Verdana" w:cstheme="minorHAnsi"/>
          <w:sz w:val="16"/>
          <w:szCs w:val="16"/>
        </w:rPr>
        <w:tab/>
      </w:r>
      <w:r w:rsidRPr="00DF46F9">
        <w:rPr>
          <w:rFonts w:ascii="Verdana" w:eastAsiaTheme="minorEastAsia" w:hAnsi="Verdana" w:cstheme="minorHAnsi"/>
          <w:sz w:val="16"/>
          <w:szCs w:val="16"/>
        </w:rPr>
        <w:tab/>
      </w:r>
      <w:r w:rsidRPr="00DF46F9">
        <w:rPr>
          <w:rFonts w:ascii="Verdana" w:eastAsiaTheme="minorEastAsia" w:hAnsi="Verdana" w:cstheme="minorHAnsi"/>
          <w:sz w:val="16"/>
          <w:szCs w:val="16"/>
        </w:rPr>
        <w:tab/>
        <w:t>1,28</w:t>
      </w:r>
      <w:r w:rsidRPr="00DF46F9">
        <w:rPr>
          <w:rFonts w:ascii="Verdana" w:eastAsiaTheme="minorEastAsia" w:hAnsi="Verdana" w:cstheme="minorHAnsi"/>
          <w:sz w:val="16"/>
          <w:szCs w:val="16"/>
        </w:rPr>
        <w:tab/>
      </w:r>
      <w:r w:rsidRPr="00DF46F9">
        <w:rPr>
          <w:rFonts w:ascii="Verdana" w:eastAsiaTheme="minorEastAsia" w:hAnsi="Verdana" w:cstheme="minorHAnsi"/>
          <w:sz w:val="16"/>
          <w:szCs w:val="16"/>
        </w:rPr>
        <w:tab/>
        <w:t>1,64</w:t>
      </w:r>
      <w:r w:rsidRPr="00DF46F9">
        <w:rPr>
          <w:rFonts w:ascii="Verdana" w:eastAsiaTheme="minorEastAsia" w:hAnsi="Verdana" w:cstheme="minorHAnsi"/>
          <w:sz w:val="16"/>
          <w:szCs w:val="16"/>
        </w:rPr>
        <w:tab/>
      </w:r>
      <w:r w:rsidRPr="00DF46F9">
        <w:rPr>
          <w:rFonts w:ascii="Verdana" w:eastAsiaTheme="minorEastAsia" w:hAnsi="Verdana" w:cstheme="minorHAnsi"/>
          <w:sz w:val="16"/>
          <w:szCs w:val="16"/>
        </w:rPr>
        <w:tab/>
        <w:t>1,96</w:t>
      </w:r>
      <w:r w:rsidRPr="00DF46F9">
        <w:rPr>
          <w:rFonts w:ascii="Verdana" w:eastAsiaTheme="minorEastAsia" w:hAnsi="Verdana" w:cstheme="minorHAnsi"/>
          <w:sz w:val="16"/>
          <w:szCs w:val="16"/>
        </w:rPr>
        <w:tab/>
      </w:r>
      <w:r w:rsidRPr="00DF46F9">
        <w:rPr>
          <w:rFonts w:ascii="Verdana" w:eastAsiaTheme="minorEastAsia" w:hAnsi="Verdana" w:cstheme="minorHAnsi"/>
          <w:sz w:val="16"/>
          <w:szCs w:val="16"/>
        </w:rPr>
        <w:tab/>
        <w:t>2,58</w:t>
      </w:r>
      <w:r w:rsidRPr="00DF46F9">
        <w:rPr>
          <w:rFonts w:ascii="Verdana" w:eastAsiaTheme="minorEastAsia" w:hAnsi="Verdana" w:cstheme="minorHAnsi"/>
          <w:sz w:val="16"/>
          <w:szCs w:val="16"/>
        </w:rPr>
        <w:tab/>
      </w:r>
      <w:r w:rsidRPr="00DF46F9">
        <w:rPr>
          <w:rFonts w:ascii="Verdana" w:eastAsiaTheme="minorEastAsia" w:hAnsi="Verdana" w:cstheme="minorHAnsi"/>
          <w:sz w:val="16"/>
          <w:szCs w:val="16"/>
        </w:rPr>
        <w:tab/>
        <w:t>3,29</w:t>
      </w:r>
    </w:p>
    <w:p w:rsidR="00DF46F9" w:rsidRPr="00DF46F9" w:rsidRDefault="00DF46F9" w:rsidP="00DF46F9">
      <w:pPr>
        <w:rPr>
          <w:rFonts w:ascii="Verdana" w:eastAsiaTheme="minorEastAsia" w:hAnsi="Verdana"/>
          <w:sz w:val="16"/>
          <w:szCs w:val="16"/>
        </w:rPr>
      </w:pPr>
    </w:p>
    <w:p w:rsidR="00DF46F9" w:rsidRPr="00DF46F9" w:rsidRDefault="00DF46F9" w:rsidP="00DF46F9">
      <w:pPr>
        <w:rPr>
          <w:rFonts w:ascii="Verdana" w:eastAsiaTheme="minorEastAsia" w:hAnsi="Verdana"/>
          <w:sz w:val="16"/>
          <w:szCs w:val="16"/>
        </w:rPr>
      </w:pPr>
      <w:r w:rsidRPr="00DF46F9">
        <w:rPr>
          <w:rFonts w:ascii="Verdana" w:eastAsiaTheme="minorEastAsia" w:hAnsi="Verdana"/>
          <w:sz w:val="16"/>
          <w:szCs w:val="16"/>
        </w:rPr>
        <w:t xml:space="preserve">Bu çizelgede </w:t>
      </w:r>
      <w:r w:rsidRPr="00DF46F9">
        <w:rPr>
          <w:rFonts w:ascii="Verdana" w:eastAsiaTheme="minorEastAsia" w:hAnsi="Verdana" w:cstheme="minorHAnsi"/>
          <w:sz w:val="16"/>
          <w:szCs w:val="16"/>
        </w:rPr>
        <w:t xml:space="preserve">∞ satırına dikkat edilirse, aynı olasılık seviyeleri için </w:t>
      </w:r>
      <m:oMath>
        <m:r>
          <w:rPr>
            <w:rFonts w:ascii="Cambria Math" w:hAnsi="Cambria Math"/>
            <w:sz w:val="16"/>
            <w:szCs w:val="16"/>
          </w:rPr>
          <m:t>t</m:t>
        </m:r>
      </m:oMath>
      <w:r w:rsidRPr="00DF46F9">
        <w:rPr>
          <w:rFonts w:ascii="Verdana" w:eastAsiaTheme="minorEastAsia" w:hAnsi="Verdana" w:cstheme="minorHAnsi"/>
          <w:sz w:val="16"/>
          <w:szCs w:val="16"/>
        </w:rPr>
        <w:t xml:space="preserve"> değerinin </w:t>
      </w:r>
      <m:oMath>
        <m:r>
          <w:rPr>
            <w:rFonts w:ascii="Cambria Math" w:hAnsi="Cambria Math"/>
            <w:sz w:val="16"/>
            <w:szCs w:val="16"/>
          </w:rPr>
          <m:t>z</m:t>
        </m:r>
      </m:oMath>
      <w:r w:rsidRPr="00DF46F9">
        <w:rPr>
          <w:rFonts w:ascii="Verdana" w:eastAsiaTheme="minorEastAsia" w:hAnsi="Verdana" w:cstheme="minorHAnsi"/>
          <w:sz w:val="16"/>
          <w:szCs w:val="16"/>
        </w:rPr>
        <w:t xml:space="preserve"> değerlerine dönüştüğü görülecektir.</w:t>
      </w:r>
    </w:p>
    <w:p w:rsidR="00841CCA" w:rsidRPr="00DF46F9" w:rsidRDefault="00841CCA" w:rsidP="00B9598B">
      <w:pPr>
        <w:spacing w:after="0" w:line="240" w:lineRule="auto"/>
        <w:rPr>
          <w:rFonts w:ascii="Verdana" w:hAnsi="Verdana"/>
          <w:sz w:val="16"/>
          <w:szCs w:val="16"/>
        </w:rPr>
      </w:pPr>
    </w:p>
    <w:p w:rsidR="00841CCA" w:rsidRPr="00DF46F9" w:rsidRDefault="00841CCA" w:rsidP="00B9598B">
      <w:pPr>
        <w:spacing w:after="0" w:line="240" w:lineRule="auto"/>
        <w:rPr>
          <w:rFonts w:ascii="Verdana" w:hAnsi="Verdana"/>
          <w:sz w:val="16"/>
          <w:szCs w:val="16"/>
        </w:rPr>
      </w:pPr>
    </w:p>
    <w:p w:rsidR="00841CCA" w:rsidRPr="00DF46F9" w:rsidRDefault="00841CCA" w:rsidP="00B9598B">
      <w:pPr>
        <w:spacing w:after="0" w:line="240" w:lineRule="auto"/>
        <w:rPr>
          <w:rFonts w:ascii="Verdana" w:hAnsi="Verdana"/>
          <w:sz w:val="16"/>
          <w:szCs w:val="16"/>
        </w:rPr>
      </w:pPr>
    </w:p>
    <w:p w:rsidR="00841CCA" w:rsidRPr="00DF46F9" w:rsidRDefault="00841CCA" w:rsidP="00B9598B">
      <w:pPr>
        <w:spacing w:after="0" w:line="240" w:lineRule="auto"/>
        <w:rPr>
          <w:rFonts w:ascii="Verdana" w:hAnsi="Verdana"/>
          <w:sz w:val="16"/>
          <w:szCs w:val="16"/>
        </w:rPr>
      </w:pPr>
    </w:p>
    <w:sectPr w:rsidR="00841CCA" w:rsidRPr="00DF4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8B"/>
    <w:rsid w:val="0000166D"/>
    <w:rsid w:val="00253894"/>
    <w:rsid w:val="004A1E09"/>
    <w:rsid w:val="005F75A9"/>
    <w:rsid w:val="00774FD0"/>
    <w:rsid w:val="007815DA"/>
    <w:rsid w:val="00796749"/>
    <w:rsid w:val="00841CCA"/>
    <w:rsid w:val="00857FE7"/>
    <w:rsid w:val="008E1EF8"/>
    <w:rsid w:val="00AF7270"/>
    <w:rsid w:val="00B9598B"/>
    <w:rsid w:val="00DF46F9"/>
    <w:rsid w:val="00F7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42896-7763-4C78-A76D-71EABB7D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tastekin_</cp:lastModifiedBy>
  <cp:revision>6</cp:revision>
  <dcterms:created xsi:type="dcterms:W3CDTF">2017-07-27T06:51:00Z</dcterms:created>
  <dcterms:modified xsi:type="dcterms:W3CDTF">2018-09-12T11:38:00Z</dcterms:modified>
</cp:coreProperties>
</file>