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6F" w:rsidRDefault="00D06A12">
      <w:pPr>
        <w:spacing w:after="0" w:line="240" w:lineRule="auto"/>
        <w:rPr>
          <w:rFonts w:ascii="Verdana" w:hAnsi="Verdana"/>
          <w:b/>
          <w:sz w:val="16"/>
          <w:szCs w:val="16"/>
        </w:rPr>
      </w:pPr>
      <w:r>
        <w:rPr>
          <w:rFonts w:ascii="Verdana" w:hAnsi="Verdana"/>
          <w:b/>
          <w:sz w:val="16"/>
          <w:szCs w:val="16"/>
        </w:rPr>
        <w:t>Konu 13</w:t>
      </w:r>
    </w:p>
    <w:p w:rsidR="007A0C6F" w:rsidRDefault="00D06A12">
      <w:pPr>
        <w:spacing w:after="0" w:line="240" w:lineRule="auto"/>
        <w:rPr>
          <w:rFonts w:ascii="Verdana" w:hAnsi="Verdana"/>
          <w:b/>
          <w:sz w:val="16"/>
          <w:szCs w:val="16"/>
        </w:rPr>
      </w:pPr>
      <w:r>
        <w:rPr>
          <w:rFonts w:ascii="Verdana" w:hAnsi="Verdana"/>
          <w:b/>
          <w:sz w:val="16"/>
          <w:szCs w:val="16"/>
        </w:rPr>
        <w:t>Numune Alma, Standardizasyon ve Kalibrasyon</w:t>
      </w:r>
    </w:p>
    <w:p w:rsidR="007A0C6F" w:rsidRDefault="007A0C6F">
      <w:pPr>
        <w:spacing w:after="0" w:line="240" w:lineRule="auto"/>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 xml:space="preserve">Numune alma, bir analitik işlemin en önemli basamaklarından biridir. Numune, üzerinde bilgi sahibi olunmak istenen </w:t>
      </w:r>
      <w:proofErr w:type="gramStart"/>
      <w:r>
        <w:rPr>
          <w:rFonts w:ascii="Verdana" w:hAnsi="Verdana"/>
          <w:sz w:val="16"/>
          <w:szCs w:val="16"/>
        </w:rPr>
        <w:t>popülasyonu</w:t>
      </w:r>
      <w:proofErr w:type="gramEnd"/>
      <w:r>
        <w:rPr>
          <w:rFonts w:ascii="Verdana" w:hAnsi="Verdana"/>
          <w:sz w:val="16"/>
          <w:szCs w:val="16"/>
        </w:rPr>
        <w:t xml:space="preserve"> temsil etmelidir. Yapılan analizler temsili numune üzerinde yapılmadıkça, ne</w:t>
      </w:r>
      <w:r w:rsidR="00D34179">
        <w:rPr>
          <w:rFonts w:ascii="Verdana" w:hAnsi="Verdana"/>
          <w:sz w:val="16"/>
          <w:szCs w:val="16"/>
        </w:rPr>
        <w:t xml:space="preserve"> </w:t>
      </w:r>
      <w:r>
        <w:rPr>
          <w:rFonts w:ascii="Verdana" w:hAnsi="Verdana"/>
          <w:sz w:val="16"/>
          <w:szCs w:val="16"/>
        </w:rPr>
        <w:t>kadar doğruluğu ve kesinliği yüksek analizler olursa olsun, hiç bir anlam ifade etmezler.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Analizler, analizde kullanılan numune miktarına göre; makro, yarı</w:t>
      </w:r>
      <w:r w:rsidR="00D34179">
        <w:rPr>
          <w:rFonts w:ascii="Verdana" w:hAnsi="Verdana"/>
          <w:sz w:val="16"/>
          <w:szCs w:val="16"/>
        </w:rPr>
        <w:t xml:space="preserve"> </w:t>
      </w:r>
      <w:r>
        <w:rPr>
          <w:rFonts w:ascii="Verdana" w:hAnsi="Verdana"/>
          <w:sz w:val="16"/>
          <w:szCs w:val="16"/>
        </w:rPr>
        <w:t>mikro, mikro ve ultra</w:t>
      </w:r>
      <w:r w:rsidR="00D34179">
        <w:rPr>
          <w:rFonts w:ascii="Verdana" w:hAnsi="Verdana"/>
          <w:sz w:val="16"/>
          <w:szCs w:val="16"/>
        </w:rPr>
        <w:t xml:space="preserve"> </w:t>
      </w:r>
      <w:r>
        <w:rPr>
          <w:rFonts w:ascii="Verdana" w:hAnsi="Verdana"/>
          <w:sz w:val="16"/>
          <w:szCs w:val="16"/>
        </w:rPr>
        <w:t>mikro analiz olarak sınıflandırılırlar.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Ayrıca analizler, analiz edilen analit düzeyine göre; Ana bileşen analizi, tali bileşen analizi, eser bileşen analizi ve u</w:t>
      </w:r>
      <w:r w:rsidR="00D34179">
        <w:rPr>
          <w:rFonts w:ascii="Verdana" w:hAnsi="Verdana"/>
          <w:sz w:val="16"/>
          <w:szCs w:val="16"/>
        </w:rPr>
        <w:t>l</w:t>
      </w:r>
      <w:r>
        <w:rPr>
          <w:rFonts w:ascii="Verdana" w:hAnsi="Verdana"/>
          <w:sz w:val="16"/>
          <w:szCs w:val="16"/>
        </w:rPr>
        <w:t>tra eser bileşen analizi olarak ta sınıflandırılırlar.</w:t>
      </w:r>
      <w:r w:rsidR="00D34179">
        <w:rPr>
          <w:rFonts w:ascii="Verdana" w:hAnsi="Verdana"/>
          <w:sz w:val="16"/>
          <w:szCs w:val="16"/>
        </w:rPr>
        <w:t xml:space="preserve"> </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Numune alma aşamaları kısaca aşağıdaki gibi özetlenebilir: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b/>
          <w:bCs/>
          <w:sz w:val="16"/>
          <w:szCs w:val="16"/>
        </w:rPr>
        <w:t>Ham numune:</w:t>
      </w:r>
      <w:r>
        <w:rPr>
          <w:rFonts w:ascii="Verdana" w:hAnsi="Verdana"/>
          <w:sz w:val="16"/>
          <w:szCs w:val="16"/>
        </w:rPr>
        <w:t xml:space="preserve"> Popülasyonu temsil edecek şekilde alınan ilk numunedir. Numune boyutu, numunenin </w:t>
      </w:r>
      <w:proofErr w:type="spellStart"/>
      <w:r>
        <w:rPr>
          <w:rFonts w:ascii="Verdana" w:hAnsi="Verdana"/>
          <w:sz w:val="16"/>
          <w:szCs w:val="16"/>
        </w:rPr>
        <w:t>heterojenliğine</w:t>
      </w:r>
      <w:proofErr w:type="spellEnd"/>
      <w:r>
        <w:rPr>
          <w:rFonts w:ascii="Verdana" w:hAnsi="Verdana"/>
          <w:sz w:val="16"/>
          <w:szCs w:val="16"/>
        </w:rPr>
        <w:t xml:space="preserve"> ve numunedeki </w:t>
      </w:r>
      <w:proofErr w:type="spellStart"/>
      <w:r>
        <w:rPr>
          <w:rFonts w:ascii="Verdana" w:hAnsi="Verdana"/>
          <w:sz w:val="16"/>
          <w:szCs w:val="16"/>
        </w:rPr>
        <w:t>tanciklerin</w:t>
      </w:r>
      <w:proofErr w:type="spellEnd"/>
      <w:r>
        <w:rPr>
          <w:rFonts w:ascii="Verdana" w:hAnsi="Verdana"/>
          <w:sz w:val="16"/>
          <w:szCs w:val="16"/>
        </w:rPr>
        <w:t xml:space="preserve"> boyutuna bağlı olarak değişir. Tanecik boyutu ve </w:t>
      </w:r>
      <w:proofErr w:type="spellStart"/>
      <w:r>
        <w:rPr>
          <w:rFonts w:ascii="Verdana" w:hAnsi="Verdana"/>
          <w:sz w:val="16"/>
          <w:szCs w:val="16"/>
        </w:rPr>
        <w:t>heterojenlik</w:t>
      </w:r>
      <w:proofErr w:type="spellEnd"/>
      <w:r>
        <w:rPr>
          <w:rFonts w:ascii="Verdana" w:hAnsi="Verdana"/>
          <w:sz w:val="16"/>
          <w:szCs w:val="16"/>
        </w:rPr>
        <w:t xml:space="preserve"> arttıkça alınacak ham nu</w:t>
      </w:r>
      <w:r w:rsidR="00D34179">
        <w:rPr>
          <w:rFonts w:ascii="Verdana" w:hAnsi="Verdana"/>
          <w:sz w:val="16"/>
          <w:szCs w:val="16"/>
        </w:rPr>
        <w:t>m</w:t>
      </w:r>
      <w:r>
        <w:rPr>
          <w:rFonts w:ascii="Verdana" w:hAnsi="Verdana"/>
          <w:sz w:val="16"/>
          <w:szCs w:val="16"/>
        </w:rPr>
        <w:t>une boy</w:t>
      </w:r>
      <w:r w:rsidR="00D34179">
        <w:rPr>
          <w:rFonts w:ascii="Verdana" w:hAnsi="Verdana"/>
          <w:sz w:val="16"/>
          <w:szCs w:val="16"/>
        </w:rPr>
        <w:t>u</w:t>
      </w:r>
      <w:r>
        <w:rPr>
          <w:rFonts w:ascii="Verdana" w:hAnsi="Verdana"/>
          <w:sz w:val="16"/>
          <w:szCs w:val="16"/>
        </w:rPr>
        <w:t>tu da artar.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b/>
          <w:bCs/>
          <w:sz w:val="16"/>
          <w:szCs w:val="16"/>
        </w:rPr>
        <w:t>Laboratuvar numunesi:</w:t>
      </w:r>
      <w:r>
        <w:rPr>
          <w:rFonts w:ascii="Verdana" w:hAnsi="Verdana"/>
          <w:sz w:val="16"/>
          <w:szCs w:val="16"/>
        </w:rPr>
        <w:t xml:space="preserve"> Ham numune öğütülerek tanecik boyutu düşürüldükten ve yığının tamamı iyice harmanlandıktan sonra, laboratuvara analiz için gönderilmek üzere alınan numunedir. Laboratuvar numunesinden 3 tane alınır. Bunlardan bir tanesi laboratuvara analiz için gönderilir, bir tanesi müşteride kalır, bir tanesi de herhangi bir anlaşmazlık durumunda şahit numune olarak kullanılmak üzere muhafaza edilir.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b/>
          <w:bCs/>
          <w:sz w:val="16"/>
          <w:szCs w:val="16"/>
        </w:rPr>
        <w:t>Analiz numunesi:</w:t>
      </w:r>
      <w:r>
        <w:rPr>
          <w:rFonts w:ascii="Verdana" w:hAnsi="Verdana"/>
          <w:sz w:val="16"/>
          <w:szCs w:val="16"/>
        </w:rPr>
        <w:t xml:space="preserve"> Laboratuvara gelen numunenin, daha küçük taneciklere öğütülmesi ve harmanlanmasından sonra, bu karışımdan temsili olarak alınan numunedir. </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b/>
          <w:bCs/>
          <w:sz w:val="16"/>
          <w:szCs w:val="16"/>
        </w:rPr>
        <w:t>Deney numunesi:</w:t>
      </w:r>
      <w:r>
        <w:rPr>
          <w:rFonts w:ascii="Verdana" w:hAnsi="Verdana"/>
          <w:sz w:val="16"/>
          <w:szCs w:val="16"/>
        </w:rPr>
        <w:t xml:space="preserve"> Analiz numunesinden tartılarak veya başka şekilde ölçülerek alınan ve üzerinde analiz işleminin gerçekleştirildiği numune kısmıdır.</w:t>
      </w:r>
    </w:p>
    <w:p w:rsidR="007A0C6F" w:rsidRDefault="007A0C6F" w:rsidP="00D34179">
      <w:pPr>
        <w:spacing w:after="0" w:line="240" w:lineRule="auto"/>
        <w:jc w:val="both"/>
        <w:rPr>
          <w:rFonts w:ascii="Verdana" w:hAnsi="Verdana"/>
          <w:sz w:val="16"/>
          <w:szCs w:val="16"/>
        </w:rPr>
      </w:pPr>
    </w:p>
    <w:p w:rsidR="007A0C6F" w:rsidRDefault="007A0C6F" w:rsidP="00D34179">
      <w:pPr>
        <w:spacing w:after="0" w:line="240" w:lineRule="auto"/>
        <w:jc w:val="both"/>
        <w:rPr>
          <w:rFonts w:ascii="Verdana" w:hAnsi="Verdana"/>
          <w:sz w:val="16"/>
          <w:szCs w:val="16"/>
        </w:rPr>
      </w:pP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b/>
          <w:bCs/>
          <w:sz w:val="16"/>
          <w:szCs w:val="16"/>
        </w:rPr>
      </w:pPr>
      <w:r>
        <w:rPr>
          <w:rFonts w:ascii="Verdana" w:hAnsi="Verdana"/>
          <w:b/>
          <w:bCs/>
          <w:sz w:val="16"/>
          <w:szCs w:val="16"/>
        </w:rPr>
        <w:t>Standardizasyon ve Kalibrasyon</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 xml:space="preserve">Kalibrasyon, analit derişimi ile bir analitik sinyal arasındaki ilişkinin belirlenmesi işlemidir. Burada sinyalden kasıt, renk şiddeti, akım, potansiyel, </w:t>
      </w:r>
      <w:proofErr w:type="spellStart"/>
      <w:r>
        <w:rPr>
          <w:rFonts w:ascii="Verdana" w:hAnsi="Verdana"/>
          <w:sz w:val="16"/>
          <w:szCs w:val="16"/>
        </w:rPr>
        <w:t>pH</w:t>
      </w:r>
      <w:proofErr w:type="spellEnd"/>
      <w:r>
        <w:rPr>
          <w:rFonts w:ascii="Verdana" w:hAnsi="Verdana"/>
          <w:sz w:val="16"/>
          <w:szCs w:val="16"/>
        </w:rPr>
        <w:t xml:space="preserve">, direnç </w:t>
      </w:r>
      <w:proofErr w:type="spellStart"/>
      <w:r>
        <w:rPr>
          <w:rFonts w:ascii="Verdana" w:hAnsi="Verdana"/>
          <w:sz w:val="16"/>
          <w:szCs w:val="16"/>
        </w:rPr>
        <w:t>vb</w:t>
      </w:r>
      <w:proofErr w:type="spellEnd"/>
      <w:r>
        <w:rPr>
          <w:rFonts w:ascii="Verdana" w:hAnsi="Verdana"/>
          <w:sz w:val="16"/>
          <w:szCs w:val="16"/>
        </w:rPr>
        <w:t xml:space="preserve"> ölçülebilen herhangi bir fiziksel özellik olabilir. Bu amaçla uygulanan farklı işlemler vardır.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 xml:space="preserve">Bunlardan bir tanesi </w:t>
      </w:r>
      <w:r>
        <w:rPr>
          <w:rFonts w:ascii="Verdana" w:hAnsi="Verdana"/>
          <w:b/>
          <w:bCs/>
          <w:sz w:val="16"/>
          <w:szCs w:val="16"/>
        </w:rPr>
        <w:t>standartlarla karşılaştırma</w:t>
      </w:r>
      <w:r>
        <w:rPr>
          <w:rFonts w:ascii="Verdana" w:hAnsi="Verdana"/>
          <w:sz w:val="16"/>
          <w:szCs w:val="16"/>
        </w:rPr>
        <w:t xml:space="preserve"> işlemidir. Bu işlemde, numuneye ait sinyal şiddeti ile referans olarak kullanılan bir maddeye ait sinyal şiddeti doğrudan karşılaştırılarak numunedeki analitin deri</w:t>
      </w:r>
      <w:r w:rsidR="00D34179">
        <w:rPr>
          <w:rFonts w:ascii="Verdana" w:hAnsi="Verdana"/>
          <w:sz w:val="16"/>
          <w:szCs w:val="16"/>
        </w:rPr>
        <w:t>ş</w:t>
      </w:r>
      <w:r>
        <w:rPr>
          <w:rFonts w:ascii="Verdana" w:hAnsi="Verdana"/>
          <w:sz w:val="16"/>
          <w:szCs w:val="16"/>
        </w:rPr>
        <w:t>imi hakkında bilgi sahibi olunur.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pPr>
      <w:r>
        <w:rPr>
          <w:rFonts w:ascii="Verdana" w:hAnsi="Verdana"/>
          <w:sz w:val="16"/>
          <w:szCs w:val="16"/>
        </w:rPr>
        <w:t xml:space="preserve">Uygulanan işlemlerden bir diğeri, dış standart ile </w:t>
      </w:r>
      <w:proofErr w:type="gramStart"/>
      <w:r>
        <w:rPr>
          <w:rFonts w:ascii="Verdana" w:hAnsi="Verdana"/>
          <w:sz w:val="16"/>
          <w:szCs w:val="16"/>
        </w:rPr>
        <w:t>kalibrasyon</w:t>
      </w:r>
      <w:proofErr w:type="gramEnd"/>
      <w:r>
        <w:rPr>
          <w:rFonts w:ascii="Verdana" w:hAnsi="Verdana"/>
          <w:sz w:val="16"/>
          <w:szCs w:val="16"/>
        </w:rPr>
        <w:t xml:space="preserve"> işlemidir. Bu işlemde, tayin edilecek analite</w:t>
      </w:r>
      <w:bookmarkStart w:id="0" w:name="_GoBack"/>
      <w:bookmarkEnd w:id="0"/>
      <w:r>
        <w:rPr>
          <w:rFonts w:ascii="Verdana" w:hAnsi="Verdana"/>
          <w:sz w:val="16"/>
          <w:szCs w:val="16"/>
        </w:rPr>
        <w:t xml:space="preserve"> ait standart bir maddeden, numuneden ayrı olarak farklı </w:t>
      </w:r>
      <w:proofErr w:type="spellStart"/>
      <w:r>
        <w:rPr>
          <w:rFonts w:ascii="Verdana" w:hAnsi="Verdana"/>
          <w:sz w:val="16"/>
          <w:szCs w:val="16"/>
        </w:rPr>
        <w:t>derişimlerde</w:t>
      </w:r>
      <w:proofErr w:type="spellEnd"/>
      <w:r>
        <w:rPr>
          <w:rFonts w:ascii="Verdana" w:hAnsi="Verdana"/>
          <w:sz w:val="16"/>
          <w:szCs w:val="16"/>
        </w:rPr>
        <w:t xml:space="preserve"> bir seri standart çözelti hazırlanır ve bu standart çözeltiler üzerinde analitik yöntem uygulanarak elde edilen sinyallerin şiddeti ölçülür. Standart çözeltilerin bilinen </w:t>
      </w:r>
      <w:proofErr w:type="spellStart"/>
      <w:r>
        <w:rPr>
          <w:rFonts w:ascii="Verdana" w:hAnsi="Verdana"/>
          <w:sz w:val="16"/>
          <w:szCs w:val="16"/>
        </w:rPr>
        <w:t>derişimlerine</w:t>
      </w:r>
      <w:proofErr w:type="spellEnd"/>
      <w:r>
        <w:rPr>
          <w:rFonts w:ascii="Verdana" w:hAnsi="Verdana"/>
          <w:sz w:val="16"/>
          <w:szCs w:val="16"/>
        </w:rPr>
        <w:t xml:space="preserve"> karşı sinyal şid</w:t>
      </w:r>
      <w:r w:rsidR="00D34179">
        <w:rPr>
          <w:rFonts w:ascii="Verdana" w:hAnsi="Verdana"/>
          <w:sz w:val="16"/>
          <w:szCs w:val="16"/>
        </w:rPr>
        <w:t>d</w:t>
      </w:r>
      <w:r>
        <w:rPr>
          <w:rFonts w:ascii="Verdana" w:hAnsi="Verdana"/>
          <w:sz w:val="16"/>
          <w:szCs w:val="16"/>
        </w:rPr>
        <w:t xml:space="preserve">eti bir grafik üzerine işaretlenir. Elde edilen grafiğe </w:t>
      </w:r>
      <w:proofErr w:type="gramStart"/>
      <w:r>
        <w:rPr>
          <w:rFonts w:ascii="Verdana" w:hAnsi="Verdana"/>
          <w:sz w:val="16"/>
          <w:szCs w:val="16"/>
        </w:rPr>
        <w:t>kalibrasyon</w:t>
      </w:r>
      <w:proofErr w:type="gramEnd"/>
      <w:r>
        <w:rPr>
          <w:rFonts w:ascii="Verdana" w:hAnsi="Verdana"/>
          <w:sz w:val="16"/>
          <w:szCs w:val="16"/>
        </w:rPr>
        <w:t xml:space="preserve"> grafiği adı verilir. Kalibrasyon grafiğinde deneysel noktalar ile, bu noktadan x eksenine çizilen dik doğrunun </w:t>
      </w:r>
      <w:proofErr w:type="gramStart"/>
      <w:r>
        <w:rPr>
          <w:rFonts w:ascii="Verdana" w:hAnsi="Verdana"/>
          <w:sz w:val="16"/>
          <w:szCs w:val="16"/>
        </w:rPr>
        <w:t>kalibrasyon</w:t>
      </w:r>
      <w:proofErr w:type="gramEnd"/>
      <w:r>
        <w:rPr>
          <w:rFonts w:ascii="Verdana" w:hAnsi="Verdana"/>
          <w:sz w:val="16"/>
          <w:szCs w:val="16"/>
        </w:rPr>
        <w:t xml:space="preserve"> grafiğini kestiği nokta arasındaki fark deneysel hata olarak adlandırılır.</w:t>
      </w:r>
    </w:p>
    <w:p w:rsidR="007A0C6F" w:rsidRDefault="007A0C6F" w:rsidP="00D34179">
      <w:pPr>
        <w:spacing w:after="0" w:line="240" w:lineRule="auto"/>
        <w:jc w:val="both"/>
        <w:rPr>
          <w:rFonts w:ascii="Verdana" w:hAnsi="Verdana"/>
          <w:sz w:val="16"/>
          <w:szCs w:val="16"/>
        </w:rPr>
      </w:pPr>
    </w:p>
    <w:p w:rsidR="007A0C6F" w:rsidRDefault="007A0C6F" w:rsidP="00D34179">
      <w:pPr>
        <w:spacing w:after="0" w:line="240" w:lineRule="auto"/>
        <w:jc w:val="both"/>
        <w:rPr>
          <w:rFonts w:ascii="Verdana" w:hAnsi="Verdana"/>
          <w:sz w:val="16"/>
          <w:szCs w:val="16"/>
        </w:rPr>
      </w:pPr>
    </w:p>
    <w:p w:rsidR="007A0C6F" w:rsidRDefault="007A0C6F" w:rsidP="00D34179">
      <w:pPr>
        <w:spacing w:after="0" w:line="240" w:lineRule="auto"/>
        <w:jc w:val="both"/>
        <w:rPr>
          <w:rFonts w:ascii="Verdana" w:hAnsi="Verdana"/>
          <w:sz w:val="16"/>
          <w:szCs w:val="16"/>
        </w:rPr>
      </w:pPr>
    </w:p>
    <w:p w:rsidR="007A0C6F" w:rsidRDefault="00D06A12">
      <w:pPr>
        <w:spacing w:after="0" w:line="240" w:lineRule="auto"/>
        <w:rPr>
          <w:rFonts w:ascii="Verdana" w:hAnsi="Verdana"/>
          <w:sz w:val="16"/>
          <w:szCs w:val="16"/>
        </w:rPr>
      </w:pPr>
      <w:r>
        <w:rPr>
          <w:noProof/>
          <w:lang w:eastAsia="tr-TR"/>
        </w:rPr>
        <w:lastRenderedPageBreak/>
        <w:drawing>
          <wp:inline distT="0" distB="0" distL="0" distR="0">
            <wp:extent cx="5760085" cy="323977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A0C6F" w:rsidRDefault="007A0C6F">
      <w:pPr>
        <w:spacing w:after="0" w:line="240" w:lineRule="auto"/>
        <w:rPr>
          <w:rFonts w:ascii="Verdana" w:hAnsi="Verdana"/>
          <w:sz w:val="16"/>
          <w:szCs w:val="16"/>
        </w:rPr>
      </w:pPr>
    </w:p>
    <w:p w:rsidR="007A0C6F" w:rsidRDefault="007A0C6F">
      <w:pPr>
        <w:spacing w:after="0" w:line="240" w:lineRule="auto"/>
        <w:rPr>
          <w:rFonts w:ascii="Verdana" w:hAnsi="Verdana"/>
          <w:sz w:val="16"/>
          <w:szCs w:val="16"/>
        </w:rPr>
      </w:pPr>
    </w:p>
    <w:p w:rsidR="007A0C6F" w:rsidRDefault="00D06A12" w:rsidP="00D34179">
      <w:pPr>
        <w:spacing w:after="0" w:line="240" w:lineRule="auto"/>
        <w:jc w:val="both"/>
      </w:pPr>
      <w:r>
        <w:rPr>
          <w:rFonts w:ascii="Verdana" w:hAnsi="Verdana"/>
          <w:sz w:val="16"/>
          <w:szCs w:val="16"/>
        </w:rPr>
        <w:t xml:space="preserve">Deney numunesindeki analite ait sinyal şiddeti, </w:t>
      </w:r>
      <w:proofErr w:type="gramStart"/>
      <w:r>
        <w:rPr>
          <w:rFonts w:ascii="Verdana" w:hAnsi="Verdana"/>
          <w:sz w:val="16"/>
          <w:szCs w:val="16"/>
        </w:rPr>
        <w:t>kalibrasyon</w:t>
      </w:r>
      <w:proofErr w:type="gramEnd"/>
      <w:r>
        <w:rPr>
          <w:rFonts w:ascii="Verdana" w:hAnsi="Verdana"/>
          <w:sz w:val="16"/>
          <w:szCs w:val="16"/>
        </w:rPr>
        <w:t xml:space="preserve"> çözeltileri için uygulanan aynı yöntemle ölçülür. Bu sinyal şiddeti </w:t>
      </w:r>
      <w:proofErr w:type="gramStart"/>
      <w:r>
        <w:rPr>
          <w:rFonts w:ascii="Verdana" w:hAnsi="Verdana"/>
          <w:sz w:val="16"/>
          <w:szCs w:val="16"/>
        </w:rPr>
        <w:t>kalibrasyon</w:t>
      </w:r>
      <w:proofErr w:type="gramEnd"/>
      <w:r>
        <w:rPr>
          <w:rFonts w:ascii="Verdana" w:hAnsi="Verdana"/>
          <w:sz w:val="16"/>
          <w:szCs w:val="16"/>
        </w:rPr>
        <w:t xml:space="preserve"> grafiğinde y ekseni üzerinde işaretlenerek x eksenine paralel bir doğru çizilir. Bu doğrunun </w:t>
      </w:r>
      <w:proofErr w:type="gramStart"/>
      <w:r>
        <w:rPr>
          <w:rFonts w:ascii="Verdana" w:hAnsi="Verdana"/>
          <w:sz w:val="16"/>
          <w:szCs w:val="16"/>
        </w:rPr>
        <w:t>kalibrasyon</w:t>
      </w:r>
      <w:proofErr w:type="gramEnd"/>
      <w:r>
        <w:rPr>
          <w:rFonts w:ascii="Verdana" w:hAnsi="Verdana"/>
          <w:sz w:val="16"/>
          <w:szCs w:val="16"/>
        </w:rPr>
        <w:t xml:space="preserve"> doğrusunu kestiği noktadan x eksenine bir dik doğru çizilerek, doğrunun ekseni kestiği noktadan analit derişimi okunur.</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b/>
          <w:bCs/>
          <w:sz w:val="16"/>
          <w:szCs w:val="16"/>
        </w:rPr>
      </w:pPr>
      <w:r>
        <w:rPr>
          <w:rFonts w:ascii="Verdana" w:hAnsi="Verdana"/>
          <w:b/>
          <w:bCs/>
          <w:sz w:val="16"/>
          <w:szCs w:val="16"/>
        </w:rPr>
        <w:t>Kalibrasyon grafiğinin matematiksel modelinin bulunması – En küçük kareler yöntemi</w:t>
      </w:r>
    </w:p>
    <w:p w:rsidR="007A0C6F" w:rsidRDefault="00D06A12" w:rsidP="00D34179">
      <w:pPr>
        <w:spacing w:after="0" w:line="240" w:lineRule="auto"/>
        <w:jc w:val="both"/>
        <w:rPr>
          <w:rFonts w:ascii="Verdana" w:hAnsi="Verdana"/>
          <w:sz w:val="16"/>
          <w:szCs w:val="16"/>
        </w:rPr>
      </w:pPr>
      <w:r>
        <w:rPr>
          <w:rFonts w:ascii="Verdana" w:hAnsi="Verdana"/>
          <w:sz w:val="16"/>
          <w:szCs w:val="16"/>
        </w:rPr>
        <w:t>Kalibrasyon grafiğinin matematiksel mo</w:t>
      </w:r>
      <w:r w:rsidR="00D34179">
        <w:rPr>
          <w:rFonts w:ascii="Verdana" w:hAnsi="Verdana"/>
          <w:sz w:val="16"/>
          <w:szCs w:val="16"/>
        </w:rPr>
        <w:t>d</w:t>
      </w:r>
      <w:r>
        <w:rPr>
          <w:rFonts w:ascii="Verdana" w:hAnsi="Verdana"/>
          <w:sz w:val="16"/>
          <w:szCs w:val="16"/>
        </w:rPr>
        <w:t>eline regresyon modeli adı da verilir. Bu modelin hesaplamasında kullanılan en küçük kareler yöntemi, ölçülen sinyal şiddetinin derişimle doğru orantılı olduğ</w:t>
      </w:r>
      <w:r w:rsidR="00D34179">
        <w:rPr>
          <w:rFonts w:ascii="Verdana" w:hAnsi="Verdana"/>
          <w:sz w:val="16"/>
          <w:szCs w:val="16"/>
        </w:rPr>
        <w:t>u</w:t>
      </w:r>
      <w:r>
        <w:rPr>
          <w:rFonts w:ascii="Verdana" w:hAnsi="Verdana"/>
          <w:sz w:val="16"/>
          <w:szCs w:val="16"/>
        </w:rPr>
        <w:t xml:space="preserve">nu ve her ölçülen noktadaki sapmanın sadece ölçüm hatasından kaynaklandığını kabul eder. </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 xml:space="preserve">En küçük kareler yönteminin uygulanmasında el ile hesaplamaların yapılabileceği gibi, hesaplamaları kolaylaştırmak için çeşitli bilgisayar programları da kullanılabilir. </w:t>
      </w:r>
    </w:p>
    <w:p w:rsidR="007A0C6F" w:rsidRDefault="007A0C6F" w:rsidP="00D34179">
      <w:pPr>
        <w:spacing w:after="0" w:line="240" w:lineRule="auto"/>
        <w:jc w:val="both"/>
        <w:rPr>
          <w:rFonts w:ascii="Verdana" w:hAnsi="Verdana"/>
          <w:sz w:val="16"/>
          <w:szCs w:val="16"/>
        </w:rPr>
      </w:pPr>
    </w:p>
    <w:p w:rsidR="007A0C6F" w:rsidRDefault="00D06A12" w:rsidP="00D34179">
      <w:pPr>
        <w:spacing w:after="0" w:line="240" w:lineRule="auto"/>
        <w:jc w:val="both"/>
        <w:rPr>
          <w:rFonts w:ascii="Verdana" w:hAnsi="Verdana"/>
          <w:sz w:val="16"/>
          <w:szCs w:val="16"/>
        </w:rPr>
      </w:pPr>
      <w:r>
        <w:rPr>
          <w:rFonts w:ascii="Verdana" w:hAnsi="Verdana"/>
          <w:sz w:val="16"/>
          <w:szCs w:val="16"/>
        </w:rPr>
        <w:t xml:space="preserve">Dış </w:t>
      </w:r>
      <w:proofErr w:type="gramStart"/>
      <w:r>
        <w:rPr>
          <w:rFonts w:ascii="Verdana" w:hAnsi="Verdana"/>
          <w:sz w:val="16"/>
          <w:szCs w:val="16"/>
        </w:rPr>
        <w:t>kalibrasyon</w:t>
      </w:r>
      <w:proofErr w:type="gramEnd"/>
      <w:r>
        <w:rPr>
          <w:rFonts w:ascii="Verdana" w:hAnsi="Verdana"/>
          <w:sz w:val="16"/>
          <w:szCs w:val="16"/>
        </w:rPr>
        <w:t xml:space="preserve"> işlemlerinde numune ve kalibrasyon çözeltilerinin matrisindeki farklılıktan kaynaklanan hataların azaltılması için, ölçümlerden elde edilen ham sinyaller, tanık sinyaller kullanılarak düzeltilir. Tanık olarak, ideal tanık kullanılabileceği gibi, çoğu zaman bu mümkün olmadığından, ideal tanık yerine çözücü tanık veya reaktif tanığı da kullanılabilir. </w:t>
      </w:r>
    </w:p>
    <w:p w:rsidR="007A0C6F" w:rsidRDefault="007A0C6F">
      <w:pPr>
        <w:spacing w:after="0" w:line="240" w:lineRule="auto"/>
        <w:rPr>
          <w:rFonts w:ascii="Verdana" w:hAnsi="Verdana"/>
          <w:sz w:val="16"/>
          <w:szCs w:val="16"/>
        </w:rPr>
      </w:pPr>
    </w:p>
    <w:p w:rsidR="007A0C6F" w:rsidRDefault="007A0C6F">
      <w:pPr>
        <w:spacing w:after="0" w:line="240" w:lineRule="auto"/>
        <w:rPr>
          <w:rFonts w:ascii="Verdana" w:hAnsi="Verdana"/>
          <w:sz w:val="16"/>
          <w:szCs w:val="16"/>
        </w:rPr>
      </w:pPr>
    </w:p>
    <w:p w:rsidR="007A0C6F" w:rsidRDefault="007A0C6F">
      <w:pPr>
        <w:spacing w:after="0" w:line="240" w:lineRule="auto"/>
        <w:rPr>
          <w:rFonts w:ascii="Verdana" w:hAnsi="Verdana"/>
          <w:sz w:val="16"/>
          <w:szCs w:val="16"/>
        </w:rPr>
      </w:pPr>
    </w:p>
    <w:p w:rsidR="007A0C6F" w:rsidRDefault="007A0C6F">
      <w:pPr>
        <w:spacing w:after="0" w:line="240" w:lineRule="auto"/>
      </w:pPr>
    </w:p>
    <w:sectPr w:rsidR="007A0C6F">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6F"/>
    <w:rsid w:val="007A0C6F"/>
    <w:rsid w:val="00D06A12"/>
    <w:rsid w:val="00D3417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935CD-65D1-40B6-8B3F-D370AFB1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WenQuanYi Micro Hei" w:hAnsi="Liberation Sans" w:cs="Lohit Devanagari"/>
      <w:sz w:val="28"/>
      <w:szCs w:val="28"/>
    </w:r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Dizin">
    <w:name w:val="Dizin"/>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roundedCorners val="0"/>
  <c:style val="2"/>
  <c:chart>
    <c:autoTitleDeleted val="1"/>
    <c:plotArea>
      <c:layout/>
      <c:scatterChart>
        <c:scatterStyle val="lineMarker"/>
        <c:varyColors val="0"/>
        <c:ser>
          <c:idx val="0"/>
          <c:order val="0"/>
          <c:tx>
            <c:strRef>
              <c:f>label 0</c:f>
              <c:strCache>
                <c:ptCount val="1"/>
                <c:pt idx="0">
                  <c:v>Sütun C</c:v>
                </c:pt>
              </c:strCache>
            </c:strRef>
          </c:tx>
          <c:spPr>
            <a:ln w="28800">
              <a:noFill/>
            </a:ln>
          </c:spPr>
          <c:marker>
            <c:symbol val="square"/>
            <c:size val="8"/>
            <c:spPr>
              <a:solidFill>
                <a:srgbClr val="004586"/>
              </a:solidFill>
            </c:spPr>
          </c:marker>
          <c:dLbls>
            <c:spPr>
              <a:noFill/>
              <a:ln>
                <a:noFill/>
              </a:ln>
              <a:effectLst/>
            </c:spPr>
            <c:dLblPos val="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trendline>
            <c:spPr>
              <a:ln w="6480">
                <a:solidFill>
                  <a:srgbClr val="004586"/>
                </a:solidFill>
                <a:round/>
              </a:ln>
            </c:spPr>
            <c:trendlineType val="linear"/>
            <c:backward val="1"/>
            <c:dispRSqr val="0"/>
            <c:dispEq val="0"/>
          </c:trendline>
          <c:xVal>
            <c:numRef>
              <c:f>1</c:f>
              <c:numCache>
                <c:formatCode>General</c:formatCode>
                <c:ptCount val="5"/>
                <c:pt idx="0">
                  <c:v>0.2</c:v>
                </c:pt>
                <c:pt idx="1">
                  <c:v>0.4</c:v>
                </c:pt>
                <c:pt idx="2">
                  <c:v>0.8</c:v>
                </c:pt>
                <c:pt idx="3">
                  <c:v>1.2</c:v>
                </c:pt>
                <c:pt idx="4">
                  <c:v>2</c:v>
                </c:pt>
              </c:numCache>
            </c:numRef>
          </c:xVal>
          <c:yVal>
            <c:numRef>
              <c:f>0</c:f>
              <c:numCache>
                <c:formatCode>General</c:formatCode>
                <c:ptCount val="5"/>
                <c:pt idx="0">
                  <c:v>0.5</c:v>
                </c:pt>
                <c:pt idx="1">
                  <c:v>1.2</c:v>
                </c:pt>
                <c:pt idx="2">
                  <c:v>1.8</c:v>
                </c:pt>
                <c:pt idx="3">
                  <c:v>3.2</c:v>
                </c:pt>
                <c:pt idx="4">
                  <c:v>4.5</c:v>
                </c:pt>
              </c:numCache>
            </c:numRef>
          </c:yVal>
          <c:smooth val="0"/>
        </c:ser>
        <c:dLbls>
          <c:showLegendKey val="0"/>
          <c:showVal val="0"/>
          <c:showCatName val="0"/>
          <c:showSerName val="0"/>
          <c:showPercent val="0"/>
          <c:showBubbleSize val="0"/>
        </c:dLbls>
        <c:axId val="352234048"/>
        <c:axId val="352234440"/>
      </c:scatterChart>
      <c:valAx>
        <c:axId val="352234048"/>
        <c:scaling>
          <c:orientation val="minMax"/>
        </c:scaling>
        <c:delete val="0"/>
        <c:axPos val="b"/>
        <c:title>
          <c:tx>
            <c:rich>
              <a:bodyPr rot="0"/>
              <a:lstStyle/>
              <a:p>
                <a:pPr>
                  <a:defRPr sz="900" b="0" strike="noStrike" spc="-1">
                    <a:solidFill>
                      <a:srgbClr val="000000"/>
                    </a:solidFill>
                    <a:uFill>
                      <a:solidFill>
                        <a:srgbClr val="FFFFFF"/>
                      </a:solidFill>
                    </a:uFill>
                    <a:latin typeface="Arial"/>
                  </a:defRPr>
                </a:pPr>
                <a:r>
                  <a:rPr lang="tr-TR" sz="900" b="0" strike="noStrike" spc="-1">
                    <a:solidFill>
                      <a:srgbClr val="000000"/>
                    </a:solidFill>
                    <a:uFill>
                      <a:solidFill>
                        <a:srgbClr val="FFFFFF"/>
                      </a:solidFill>
                    </a:uFill>
                    <a:latin typeface="Arial"/>
                  </a:rPr>
                  <a:t>Derişim</a:t>
                </a:r>
              </a:p>
            </c:rich>
          </c:tx>
          <c:overlay val="0"/>
        </c:title>
        <c:numFmt formatCode="General" sourceLinked="0"/>
        <c:majorTickMark val="out"/>
        <c:minorTickMark val="none"/>
        <c:tickLblPos val="nextTo"/>
        <c:spPr>
          <a:ln w="6480">
            <a:solidFill>
              <a:srgbClr val="B3B3B3"/>
            </a:solidFill>
            <a:round/>
          </a:ln>
        </c:spPr>
        <c:txPr>
          <a:bodyPr/>
          <a:lstStyle/>
          <a:p>
            <a:pPr>
              <a:defRPr sz="1000" b="0" strike="noStrike" spc="-1">
                <a:solidFill>
                  <a:srgbClr val="000000"/>
                </a:solidFill>
                <a:uFill>
                  <a:solidFill>
                    <a:srgbClr val="FFFFFF"/>
                  </a:solidFill>
                </a:uFill>
                <a:latin typeface="Arial"/>
              </a:defRPr>
            </a:pPr>
            <a:endParaRPr lang="tr-TR"/>
          </a:p>
        </c:txPr>
        <c:crossAx val="352234440"/>
        <c:crosses val="autoZero"/>
        <c:crossBetween val="midCat"/>
      </c:valAx>
      <c:valAx>
        <c:axId val="352234440"/>
        <c:scaling>
          <c:orientation val="minMax"/>
        </c:scaling>
        <c:delete val="0"/>
        <c:axPos val="l"/>
        <c:title>
          <c:tx>
            <c:rich>
              <a:bodyPr rot="-5400000"/>
              <a:lstStyle/>
              <a:p>
                <a:pPr>
                  <a:defRPr sz="900" b="0" strike="noStrike" spc="-1">
                    <a:solidFill>
                      <a:srgbClr val="000000"/>
                    </a:solidFill>
                    <a:uFill>
                      <a:solidFill>
                        <a:srgbClr val="FFFFFF"/>
                      </a:solidFill>
                    </a:uFill>
                    <a:latin typeface="Arial"/>
                  </a:defRPr>
                </a:pPr>
                <a:r>
                  <a:rPr lang="tr-TR" sz="900" b="0" strike="noStrike" spc="-1">
                    <a:solidFill>
                      <a:srgbClr val="000000"/>
                    </a:solidFill>
                    <a:uFill>
                      <a:solidFill>
                        <a:srgbClr val="FFFFFF"/>
                      </a:solidFill>
                    </a:uFill>
                    <a:latin typeface="Arial"/>
                  </a:rPr>
                  <a:t>Sinyal şiddeti</a:t>
                </a:r>
              </a:p>
            </c:rich>
          </c:tx>
          <c:overlay val="0"/>
        </c:title>
        <c:numFmt formatCode="General" sourceLinked="0"/>
        <c:majorTickMark val="out"/>
        <c:minorTickMark val="none"/>
        <c:tickLblPos val="nextTo"/>
        <c:spPr>
          <a:ln w="6480">
            <a:solidFill>
              <a:srgbClr val="B3B3B3"/>
            </a:solidFill>
            <a:round/>
          </a:ln>
        </c:spPr>
        <c:txPr>
          <a:bodyPr/>
          <a:lstStyle/>
          <a:p>
            <a:pPr>
              <a:defRPr sz="1000" b="0" strike="noStrike" spc="-1">
                <a:solidFill>
                  <a:srgbClr val="000000"/>
                </a:solidFill>
                <a:uFill>
                  <a:solidFill>
                    <a:srgbClr val="FFFFFF"/>
                  </a:solidFill>
                </a:uFill>
                <a:latin typeface="Arial"/>
              </a:defRPr>
            </a:pPr>
            <a:endParaRPr lang="tr-TR"/>
          </a:p>
        </c:txPr>
        <c:crossAx val="352234048"/>
        <c:crosses val="autoZero"/>
        <c:crossBetween val="midCat"/>
      </c:valAx>
      <c:spPr>
        <a:noFill/>
        <a:ln>
          <a:solidFill>
            <a:srgbClr val="B3B3B3"/>
          </a:solidFill>
        </a:ln>
      </c:spPr>
    </c:plotArea>
    <c:plotVisOnly val="1"/>
    <c:dispBlanksAs val="span"/>
    <c:showDLblsOverMax val="1"/>
  </c:chart>
  <c:spPr>
    <a:solidFill>
      <a:srgbClr val="FFFFFF"/>
    </a:solidFill>
    <a:ln>
      <a:noFill/>
    </a:ln>
  </c:spPr>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dc:description/>
  <cp:lastModifiedBy>tastekin_</cp:lastModifiedBy>
  <cp:revision>8</cp:revision>
  <dcterms:created xsi:type="dcterms:W3CDTF">2017-07-27T06:52:00Z</dcterms:created>
  <dcterms:modified xsi:type="dcterms:W3CDTF">2018-09-13T07:47:00Z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