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EDF" w:rsidRPr="00E72EDF" w:rsidRDefault="00E72EDF" w:rsidP="00E72EDF">
      <w:pPr>
        <w:ind w:firstLine="708"/>
        <w:jc w:val="both"/>
        <w:rPr>
          <w:rFonts w:ascii="Times New Roman" w:hAnsi="Times New Roman" w:cs="Times New Roman"/>
          <w:b/>
          <w:sz w:val="24"/>
          <w:szCs w:val="24"/>
        </w:rPr>
      </w:pPr>
      <w:r>
        <w:rPr>
          <w:rFonts w:ascii="Times New Roman" w:hAnsi="Times New Roman" w:cs="Times New Roman"/>
          <w:b/>
          <w:sz w:val="24"/>
          <w:szCs w:val="24"/>
        </w:rPr>
        <w:t>AİHS’de Korunan Haklar: İşkence Yasağı (devam)</w:t>
      </w:r>
    </w:p>
    <w:p w:rsidR="00D21944" w:rsidRPr="00E72EDF" w:rsidRDefault="00D21944" w:rsidP="00E72EDF">
      <w:pPr>
        <w:ind w:firstLine="708"/>
        <w:jc w:val="both"/>
        <w:rPr>
          <w:rFonts w:ascii="Times New Roman" w:hAnsi="Times New Roman" w:cs="Times New Roman"/>
          <w:sz w:val="24"/>
          <w:szCs w:val="24"/>
        </w:rPr>
      </w:pPr>
      <w:r w:rsidRPr="00E72EDF">
        <w:rPr>
          <w:rFonts w:ascii="Times New Roman" w:hAnsi="Times New Roman" w:cs="Times New Roman"/>
          <w:i/>
          <w:sz w:val="24"/>
          <w:szCs w:val="24"/>
          <w:u w:val="single"/>
        </w:rPr>
        <w:t>İnsanlık dışı ve küçük düşürücü</w:t>
      </w:r>
      <w:r w:rsidRPr="00E72EDF">
        <w:rPr>
          <w:rFonts w:ascii="Times New Roman" w:hAnsi="Times New Roman" w:cs="Times New Roman"/>
          <w:sz w:val="24"/>
          <w:szCs w:val="24"/>
        </w:rPr>
        <w:t xml:space="preserve">: Yeterli yoğunluk ve amaç unsuru taşımaması nedeniyle işkence olarak kabul edilmeyen kötü muamele, insanlık dışı veya küçük düşürücü olarak sınıflandırılmaktadır. </w:t>
      </w:r>
    </w:p>
    <w:p w:rsidR="008D27F2" w:rsidRPr="00E72EDF" w:rsidRDefault="008D27F2"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İnsanlık dışı muameleye çoğunlukla gözaltı koşullarında rastlanmaktadır. Alıkonulan kişiler şiddetli kötü muameleye maruz kalmakla birlikte, yoğunluk işkence olarak sınıflandırılmak için yeterli düzeyde değildir.</w:t>
      </w:r>
    </w:p>
    <w:p w:rsidR="008D27F2" w:rsidRPr="00E72EDF" w:rsidRDefault="008D27F2"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Küçük düşürücü muamele ise, mağdurlarda korku, </w:t>
      </w:r>
      <w:proofErr w:type="spellStart"/>
      <w:r w:rsidRPr="00E72EDF">
        <w:rPr>
          <w:rFonts w:ascii="Times New Roman" w:hAnsi="Times New Roman" w:cs="Times New Roman"/>
          <w:sz w:val="24"/>
          <w:szCs w:val="24"/>
        </w:rPr>
        <w:t>anksiyete</w:t>
      </w:r>
      <w:proofErr w:type="spellEnd"/>
      <w:r w:rsidRPr="00E72EDF">
        <w:rPr>
          <w:rFonts w:ascii="Times New Roman" w:hAnsi="Times New Roman" w:cs="Times New Roman"/>
          <w:sz w:val="24"/>
          <w:szCs w:val="24"/>
        </w:rPr>
        <w:t xml:space="preserve"> ve aşağılık duygusu yaratan ve onları küçük düşürecek veya alçaltacak nitelikte olan muameledir. Küçük düşürücü muamele kapsamında, mağdurun fiziksel veya moral direncini kırmaya yönelik uygulamalar veya mağduru iradesi veya vicdanı hilafına hareket etmeye yönelten uygulamalar da bulunur.</w:t>
      </w:r>
      <w:r w:rsidR="002D752A" w:rsidRPr="00E72EDF">
        <w:rPr>
          <w:rFonts w:ascii="Times New Roman" w:hAnsi="Times New Roman" w:cs="Times New Roman"/>
          <w:sz w:val="24"/>
          <w:szCs w:val="24"/>
        </w:rPr>
        <w:t xml:space="preserve"> Mağdurun yaşı ve cinsiyeti gibi göreceli faktörler, insanlık dışı muamele veya işkence değerlendirmesine kıyasla daha önemli olabilir.</w:t>
      </w:r>
    </w:p>
    <w:p w:rsidR="002D752A" w:rsidRPr="00E72EDF" w:rsidRDefault="002D75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Yargı yoluyla verilen cezalar 3. Madde kapsamında “küçük düşürücü” olarak değerlendirilmez. Ancak istisnai durumlarda bu da mümkündür. Devletler </w:t>
      </w:r>
      <w:proofErr w:type="gramStart"/>
      <w:r w:rsidRPr="00E72EDF">
        <w:rPr>
          <w:rFonts w:ascii="Times New Roman" w:hAnsi="Times New Roman" w:cs="Times New Roman"/>
          <w:sz w:val="24"/>
          <w:szCs w:val="24"/>
        </w:rPr>
        <w:t>mahkumlara</w:t>
      </w:r>
      <w:proofErr w:type="gramEnd"/>
      <w:r w:rsidRPr="00E72EDF">
        <w:rPr>
          <w:rFonts w:ascii="Times New Roman" w:hAnsi="Times New Roman" w:cs="Times New Roman"/>
          <w:sz w:val="24"/>
          <w:szCs w:val="24"/>
        </w:rPr>
        <w:t xml:space="preserve"> ne ceza verecekleri konusunda belli bir takdir hakkında sahiptir. Ancak AİHM 1978’de UK’de uygulanan ve yargı yoluyla çocuk suçlulara uygulanan dayak cezasının 3. Maddeyi ihlal ettiği sonucuna varmıştır. Bunun nedeni, bu cezanın bir insanın başka bir insana fiziksel şiddet uygulamasını içermesidir. Aynı zamanda kurumsallaştırılmış bir şiddettir. </w:t>
      </w:r>
    </w:p>
    <w:p w:rsidR="002D752A" w:rsidRPr="00E72EDF" w:rsidRDefault="002D75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Benzer şekilde, okullarda dayak cezasının uygulanması da küçük düşürücü olarak kabul </w:t>
      </w:r>
      <w:proofErr w:type="spellStart"/>
      <w:r w:rsidRPr="00E72EDF">
        <w:rPr>
          <w:rFonts w:ascii="Times New Roman" w:hAnsi="Times New Roman" w:cs="Times New Roman"/>
          <w:sz w:val="24"/>
          <w:szCs w:val="24"/>
        </w:rPr>
        <w:t>edilmitir</w:t>
      </w:r>
      <w:proofErr w:type="spellEnd"/>
      <w:r w:rsidRPr="00E72EDF">
        <w:rPr>
          <w:rFonts w:ascii="Times New Roman" w:hAnsi="Times New Roman" w:cs="Times New Roman"/>
          <w:sz w:val="24"/>
          <w:szCs w:val="24"/>
        </w:rPr>
        <w:t xml:space="preserve">. O davada </w:t>
      </w:r>
      <w:proofErr w:type="spellStart"/>
      <w:r w:rsidRPr="00E72EDF">
        <w:rPr>
          <w:rFonts w:ascii="Times New Roman" w:hAnsi="Times New Roman" w:cs="Times New Roman"/>
          <w:sz w:val="24"/>
          <w:szCs w:val="24"/>
        </w:rPr>
        <w:t>AİHK’nun</w:t>
      </w:r>
      <w:proofErr w:type="spellEnd"/>
      <w:r w:rsidRPr="00E72EDF">
        <w:rPr>
          <w:rFonts w:ascii="Times New Roman" w:hAnsi="Times New Roman" w:cs="Times New Roman"/>
          <w:sz w:val="24"/>
          <w:szCs w:val="24"/>
        </w:rPr>
        <w:t xml:space="preserve"> </w:t>
      </w:r>
      <w:proofErr w:type="spellStart"/>
      <w:r w:rsidRPr="00E72EDF">
        <w:rPr>
          <w:rFonts w:ascii="Times New Roman" w:hAnsi="Times New Roman" w:cs="Times New Roman"/>
          <w:sz w:val="24"/>
          <w:szCs w:val="24"/>
        </w:rPr>
        <w:t>görüüne</w:t>
      </w:r>
      <w:proofErr w:type="spellEnd"/>
      <w:r w:rsidRPr="00E72EDF">
        <w:rPr>
          <w:rFonts w:ascii="Times New Roman" w:hAnsi="Times New Roman" w:cs="Times New Roman"/>
          <w:sz w:val="24"/>
          <w:szCs w:val="24"/>
        </w:rPr>
        <w:t xml:space="preserve"> göre, başvurucuya uygulanan ceza o kadar ağır derecede fiziksel yaralanma ve küçük düşürülmeye neden olmu</w:t>
      </w:r>
      <w:r w:rsidR="001D35F9" w:rsidRPr="00E72EDF">
        <w:rPr>
          <w:rFonts w:ascii="Times New Roman" w:hAnsi="Times New Roman" w:cs="Times New Roman"/>
          <w:sz w:val="24"/>
          <w:szCs w:val="24"/>
        </w:rPr>
        <w:t>ş</w:t>
      </w:r>
      <w:r w:rsidRPr="00E72EDF">
        <w:rPr>
          <w:rFonts w:ascii="Times New Roman" w:hAnsi="Times New Roman" w:cs="Times New Roman"/>
          <w:sz w:val="24"/>
          <w:szCs w:val="24"/>
        </w:rPr>
        <w:t xml:space="preserve">tur ki, AİHS’nin 3. Maddesi kapsamında küçük düşürücü muamele ve ceza olarak değerlendirilmelidir. A;HK, bu kötü muameleden devletin sorumlu olduğunu, zira bu cezanın İngiliz hukuk sistemince onaylandığını ve yeterli bir telafi </w:t>
      </w:r>
      <w:proofErr w:type="gramStart"/>
      <w:r w:rsidRPr="00E72EDF">
        <w:rPr>
          <w:rFonts w:ascii="Times New Roman" w:hAnsi="Times New Roman" w:cs="Times New Roman"/>
          <w:sz w:val="24"/>
          <w:szCs w:val="24"/>
        </w:rPr>
        <w:t>imkanı</w:t>
      </w:r>
      <w:proofErr w:type="gramEnd"/>
      <w:r w:rsidRPr="00E72EDF">
        <w:rPr>
          <w:rFonts w:ascii="Times New Roman" w:hAnsi="Times New Roman" w:cs="Times New Roman"/>
          <w:sz w:val="24"/>
          <w:szCs w:val="24"/>
        </w:rPr>
        <w:t xml:space="preserve"> da bulunmadığını belirtmiştir.</w:t>
      </w:r>
    </w:p>
    <w:p w:rsidR="001D35F9" w:rsidRPr="00E72EDF" w:rsidRDefault="001D35F9" w:rsidP="00E72EDF">
      <w:pPr>
        <w:ind w:firstLine="708"/>
        <w:jc w:val="both"/>
        <w:rPr>
          <w:rFonts w:ascii="Times New Roman" w:hAnsi="Times New Roman" w:cs="Times New Roman"/>
          <w:sz w:val="24"/>
          <w:szCs w:val="24"/>
        </w:rPr>
      </w:pPr>
      <w:r w:rsidRPr="00E72EDF">
        <w:rPr>
          <w:rFonts w:ascii="Times New Roman" w:hAnsi="Times New Roman" w:cs="Times New Roman"/>
          <w:i/>
          <w:sz w:val="24"/>
          <w:szCs w:val="24"/>
          <w:u w:val="single"/>
        </w:rPr>
        <w:t>Örnekler</w:t>
      </w:r>
    </w:p>
    <w:p w:rsidR="00A70951" w:rsidRPr="00E72EDF" w:rsidRDefault="004B7B80" w:rsidP="00E72EDF">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Tomas</w:t>
      </w:r>
      <w:bookmarkStart w:id="0" w:name="_GoBack"/>
      <w:bookmarkEnd w:id="0"/>
      <w:r w:rsidR="00A70951" w:rsidRPr="00E72EDF">
        <w:rPr>
          <w:rFonts w:ascii="Times New Roman" w:hAnsi="Times New Roman" w:cs="Times New Roman"/>
          <w:sz w:val="24"/>
          <w:szCs w:val="24"/>
        </w:rPr>
        <w:t>i</w:t>
      </w:r>
      <w:proofErr w:type="spellEnd"/>
      <w:r w:rsidR="00A70951" w:rsidRPr="00E72EDF">
        <w:rPr>
          <w:rFonts w:ascii="Times New Roman" w:hAnsi="Times New Roman" w:cs="Times New Roman"/>
          <w:sz w:val="24"/>
          <w:szCs w:val="24"/>
        </w:rPr>
        <w:t xml:space="preserve"> davasında (1993) doktor raporuyla belirlenmiş olan yüzde ve göğüste sıyrık ve bereler, sol kulak içine verilen zarar, her ne kadar göreceli olarak hafif olsa da, fiziki güç kullanıldığını göstermekte ve bu yüzden insanlık</w:t>
      </w:r>
      <w:r w:rsidR="009B6FED" w:rsidRPr="00E72EDF">
        <w:rPr>
          <w:rFonts w:ascii="Times New Roman" w:hAnsi="Times New Roman" w:cs="Times New Roman"/>
          <w:sz w:val="24"/>
          <w:szCs w:val="24"/>
        </w:rPr>
        <w:t xml:space="preserve"> </w:t>
      </w:r>
      <w:r w:rsidR="00A70951" w:rsidRPr="00E72EDF">
        <w:rPr>
          <w:rFonts w:ascii="Times New Roman" w:hAnsi="Times New Roman" w:cs="Times New Roman"/>
          <w:sz w:val="24"/>
          <w:szCs w:val="24"/>
        </w:rPr>
        <w:t xml:space="preserve">dışı ve haysiyet kırıcı muamele olarak 3. maddenin ihlali anlamına gelmektedir. Daha ağır bir ihlal olarak, işkence teşkil eden 3. maddenin ihlali kararı, </w:t>
      </w:r>
      <w:proofErr w:type="spellStart"/>
      <w:r w:rsidR="00A70951" w:rsidRPr="00E72EDF">
        <w:rPr>
          <w:rFonts w:ascii="Times New Roman" w:hAnsi="Times New Roman" w:cs="Times New Roman"/>
          <w:sz w:val="24"/>
          <w:szCs w:val="24"/>
        </w:rPr>
        <w:t>Selmouni</w:t>
      </w:r>
      <w:proofErr w:type="spellEnd"/>
      <w:r w:rsidR="00A70951" w:rsidRPr="00E72EDF">
        <w:rPr>
          <w:rFonts w:ascii="Times New Roman" w:hAnsi="Times New Roman" w:cs="Times New Roman"/>
          <w:sz w:val="24"/>
          <w:szCs w:val="24"/>
        </w:rPr>
        <w:t xml:space="preserve"> davasında (2000), Fransa aleyhine verilmiştir. AİHK, başvuru </w:t>
      </w:r>
      <w:r w:rsidR="00A70951" w:rsidRPr="00E72EDF">
        <w:rPr>
          <w:rFonts w:ascii="Times New Roman" w:hAnsi="Times New Roman" w:cs="Times New Roman"/>
          <w:sz w:val="24"/>
          <w:szCs w:val="24"/>
        </w:rPr>
        <w:lastRenderedPageBreak/>
        <w:t>sahibinin tekmelendiğini, yumruklandığını ve çeşitli darbelere maruz kaldığının, 3 ayrı doktor raporunda gözaltı süresinde oluştuğunun ispat edildiğini belirlemiştir. Bunun sonucunda özellikle sol gözünden defalarca ameliyat olduğunu ifade ettikten sonra, AİHK bu muameleyi ciddi ve zalimane bulmak suretiyle işkence teşkil ettiğine karar vermiştir.</w:t>
      </w:r>
    </w:p>
    <w:p w:rsidR="00FA67AC" w:rsidRPr="00E72EDF" w:rsidRDefault="00A976A1" w:rsidP="00E72EDF">
      <w:pPr>
        <w:ind w:firstLine="708"/>
        <w:jc w:val="both"/>
        <w:rPr>
          <w:rFonts w:ascii="Times New Roman" w:hAnsi="Times New Roman" w:cs="Times New Roman"/>
          <w:sz w:val="24"/>
          <w:szCs w:val="24"/>
        </w:rPr>
      </w:pPr>
      <w:r w:rsidRPr="00E72EDF">
        <w:rPr>
          <w:rFonts w:ascii="Times New Roman" w:hAnsi="Times New Roman" w:cs="Times New Roman"/>
          <w:i/>
          <w:sz w:val="24"/>
          <w:szCs w:val="24"/>
        </w:rPr>
        <w:t xml:space="preserve">Alıkoyma durumunda: </w:t>
      </w:r>
      <w:r w:rsidR="00FA67AC" w:rsidRPr="00E72EDF">
        <w:rPr>
          <w:rFonts w:ascii="Times New Roman" w:hAnsi="Times New Roman" w:cs="Times New Roman"/>
          <w:sz w:val="24"/>
          <w:szCs w:val="24"/>
        </w:rPr>
        <w:t xml:space="preserve">Gözaltına alındığında sağlıklı olan bir şahıs, salıverildiğinde sağlığını yitirmiş olarak bulunursa, devletin bu durumun nasıl gerçekleştiğini ikna edici bir şekilde izah etme yükümlülüğü vardır. </w:t>
      </w:r>
      <w:r w:rsidRPr="00E72EDF">
        <w:rPr>
          <w:rFonts w:ascii="Times New Roman" w:hAnsi="Times New Roman" w:cs="Times New Roman"/>
          <w:sz w:val="24"/>
          <w:szCs w:val="24"/>
        </w:rPr>
        <w:t>Herhangi bir kötü muamele yapılıp yapılmadığının değerlendirilmesinde hareket noktası, bu kişiye kaba kuvvet uygulanıp uygulanmadığının saptanmasıdır. Temel kıstas, kişinin kendi davranışları nedeniyle gerekli olmadığı sürece kaba kuvvete başvurulmasının 3. Maddenin ihlali olacağıdır.</w:t>
      </w:r>
    </w:p>
    <w:p w:rsidR="00FA67AC" w:rsidRPr="00E72EDF" w:rsidRDefault="00FA67AC"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Gözaltında gerçekleşen bir ölüm olayında, bu ölümün kötü muameleden kaynaklandığı sonucuna otomatikman ulaşılamaz. Örneğin, şahitlerin cesette birtakım çürükler gördüklerini ifade etmeleri de kötü muamelenin varlığının ispatı açısından yeterli bir ispat şekli değildir. Aynı ifadenin, bunun darbeye dayalı bir yaradan ziyade, ölüm sonrası cesette gerçekleşen değişiklikten kaynaklanabileceğinden dolayı, konunun bu şekilde ispatı mümkün gözükmemektedir. Ceset defnedilmeden önce çekilmiş olan fotoğrafların; renkli, ayrıntılı ve çok belirgin olması gerekmektedir. Sıradan bir fotoğraf makinasıyla amatörce yapılmış olan bir çekim, çoğu zaman pek faydalı olamamaktadır. Yalnızca Hükümet tarafından izah getirilemeyen ölüm sebebi, şahitlerin ifadeleri ve Türkiye'nin işkence faturasının kabarık olması, seçilmiş bir olay açısından da işkencenin yapıldığına dair "makul bir şüpheye yer bırakmayacak nitelikte" ispat standardını gerçekleştirdiği yönünde bir neticeye varılmasını gerektirmez. (2001 Tanlı davası) </w:t>
      </w:r>
    </w:p>
    <w:p w:rsidR="00FA67AC" w:rsidRPr="00E72EDF" w:rsidRDefault="00FA67AC" w:rsidP="00E72EDF">
      <w:pPr>
        <w:ind w:firstLine="708"/>
        <w:jc w:val="both"/>
        <w:rPr>
          <w:rFonts w:ascii="Times New Roman" w:hAnsi="Times New Roman" w:cs="Times New Roman"/>
          <w:sz w:val="24"/>
          <w:szCs w:val="24"/>
        </w:rPr>
      </w:pPr>
      <w:proofErr w:type="spellStart"/>
      <w:r w:rsidRPr="00E72EDF">
        <w:rPr>
          <w:rFonts w:ascii="Times New Roman" w:hAnsi="Times New Roman" w:cs="Times New Roman"/>
          <w:sz w:val="24"/>
          <w:szCs w:val="24"/>
        </w:rPr>
        <w:t>Sevtap</w:t>
      </w:r>
      <w:proofErr w:type="spellEnd"/>
      <w:r w:rsidRPr="00E72EDF">
        <w:rPr>
          <w:rFonts w:ascii="Times New Roman" w:hAnsi="Times New Roman" w:cs="Times New Roman"/>
          <w:sz w:val="24"/>
          <w:szCs w:val="24"/>
        </w:rPr>
        <w:t xml:space="preserve"> </w:t>
      </w:r>
      <w:proofErr w:type="spellStart"/>
      <w:r w:rsidRPr="00E72EDF">
        <w:rPr>
          <w:rFonts w:ascii="Times New Roman" w:hAnsi="Times New Roman" w:cs="Times New Roman"/>
          <w:sz w:val="24"/>
          <w:szCs w:val="24"/>
        </w:rPr>
        <w:t>Veznadaroğlu</w:t>
      </w:r>
      <w:proofErr w:type="spellEnd"/>
      <w:r w:rsidRPr="00E72EDF">
        <w:rPr>
          <w:rFonts w:ascii="Times New Roman" w:hAnsi="Times New Roman" w:cs="Times New Roman"/>
          <w:sz w:val="24"/>
          <w:szCs w:val="24"/>
        </w:rPr>
        <w:t xml:space="preserve"> </w:t>
      </w:r>
      <w:proofErr w:type="spellStart"/>
      <w:r w:rsidRPr="00E72EDF">
        <w:rPr>
          <w:rFonts w:ascii="Times New Roman" w:hAnsi="Times New Roman" w:cs="Times New Roman"/>
          <w:sz w:val="24"/>
          <w:szCs w:val="24"/>
        </w:rPr>
        <w:t>Karan'nda</w:t>
      </w:r>
      <w:proofErr w:type="spellEnd"/>
      <w:r w:rsidRPr="00E72EDF">
        <w:rPr>
          <w:rFonts w:ascii="Times New Roman" w:hAnsi="Times New Roman" w:cs="Times New Roman"/>
          <w:sz w:val="24"/>
          <w:szCs w:val="24"/>
        </w:rPr>
        <w:t>, başvuru sahibinin gözaltına alındıktan sonra iddia ettiği yaraların, gözaltı sırasında oluşup oluşmadığı hususunu, ulusal makamların yeterince incelemediğini belirtmiştir. Savcılığın bu ısrarlı iddiayı soruşturmaması, 3. maddenin ihlali sonucunu doğurmuştur. (2000)</w:t>
      </w:r>
    </w:p>
    <w:p w:rsidR="00FA67AC" w:rsidRPr="00E72EDF" w:rsidRDefault="00FA67AC"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İnsanlık</w:t>
      </w:r>
      <w:r w:rsidR="001D35F9" w:rsidRPr="00E72EDF">
        <w:rPr>
          <w:rFonts w:ascii="Times New Roman" w:hAnsi="Times New Roman" w:cs="Times New Roman"/>
          <w:sz w:val="24"/>
          <w:szCs w:val="24"/>
        </w:rPr>
        <w:t xml:space="preserve"> </w:t>
      </w:r>
      <w:r w:rsidRPr="00E72EDF">
        <w:rPr>
          <w:rFonts w:ascii="Times New Roman" w:hAnsi="Times New Roman" w:cs="Times New Roman"/>
          <w:sz w:val="24"/>
          <w:szCs w:val="24"/>
        </w:rPr>
        <w:t xml:space="preserve">dışı muamelenin, zorla kaybolan kişinin yakınlarına yönelik gerçekleşebileceği hususu, Akdeniz ve Diğerleri Kararı'nda (2001) şöyle ifade edilmiştir: "aile bireylerinin bu tür durumlarda mağdur sayılıp, sayılmayacağı konusu, ciddi insan hakları ihlaline maruz kalan kişinin yakınlarının kaçınılmaz olarak içine düştükleri duygusal elemlerin dışındaki özel faktörlerin varlığına bağlıdır. Özel faktörler: yakın aile bağları -bu bağlamda ebeveyn çocuk bağının önemli bir ağırlığı vardır, ilişkinin özel şartlan, söz konusu olaya aile bireyinin ne kadar </w:t>
      </w:r>
      <w:r w:rsidRPr="00E72EDF">
        <w:rPr>
          <w:rFonts w:ascii="Times New Roman" w:hAnsi="Times New Roman" w:cs="Times New Roman"/>
          <w:sz w:val="24"/>
          <w:szCs w:val="24"/>
        </w:rPr>
        <w:lastRenderedPageBreak/>
        <w:t>şahit olduğu, aile bireyinin kayıp kişi hakkında bilgiye ulaşabilme konusunda gösterdiği çaba ve yetkili makamların bu çabalara nasıl karşılık verdiği gibi hususları kapsar</w:t>
      </w:r>
      <w:r w:rsidR="001D35F9" w:rsidRPr="00E72EDF">
        <w:rPr>
          <w:rFonts w:ascii="Times New Roman" w:hAnsi="Times New Roman" w:cs="Times New Roman"/>
          <w:sz w:val="24"/>
          <w:szCs w:val="24"/>
        </w:rPr>
        <w:t>. Mahkeme (AİHM), bu tür bir ih</w:t>
      </w:r>
      <w:r w:rsidRPr="00E72EDF">
        <w:rPr>
          <w:rFonts w:ascii="Times New Roman" w:hAnsi="Times New Roman" w:cs="Times New Roman"/>
          <w:sz w:val="24"/>
          <w:szCs w:val="24"/>
        </w:rPr>
        <w:t xml:space="preserve">lalin temelinde, bir aile bireyinin kayıp olmasından çok, yetkili makamların önlerine bu tür başvuru geldiğinde, gösterdiği reaksiyonlar ve davranışlar yattığını önemle vurgulamıştır. Özellikle yetkili makamların davranış ve reaksiyonları üzerine, kayıp kişilerin yakınları doğrudan kendilerinin yetkili makamların mağduru olduğunu ileri sürebilirler" tespitinde bulunmuştur. </w:t>
      </w:r>
    </w:p>
    <w:p w:rsidR="00FA67AC" w:rsidRPr="00E72EDF" w:rsidRDefault="00FA67AC"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Buradaki esaslar paralelinde, Timurtaş kararında (2000), AİHM, başvuru sahibinin oğlunun kaybıyla alakalı soruşturm</w:t>
      </w:r>
      <w:r w:rsidR="001D35F9" w:rsidRPr="00E72EDF">
        <w:rPr>
          <w:rFonts w:ascii="Times New Roman" w:hAnsi="Times New Roman" w:cs="Times New Roman"/>
          <w:sz w:val="24"/>
          <w:szCs w:val="24"/>
        </w:rPr>
        <w:t>a yürütülmesi isteği karşısında</w:t>
      </w:r>
      <w:r w:rsidRPr="00E72EDF">
        <w:rPr>
          <w:rFonts w:ascii="Times New Roman" w:hAnsi="Times New Roman" w:cs="Times New Roman"/>
          <w:sz w:val="24"/>
          <w:szCs w:val="24"/>
        </w:rPr>
        <w:t xml:space="preserve"> yetkililerin etkisiz soruşturma yapması ve katı duyarsızlıkları sonucunda, oğlunun akıbeti hususunda çektiği üzüntüyü, AİHM, </w:t>
      </w:r>
      <w:proofErr w:type="spellStart"/>
      <w:r w:rsidRPr="00E72EDF">
        <w:rPr>
          <w:rFonts w:ascii="Times New Roman" w:hAnsi="Times New Roman" w:cs="Times New Roman"/>
          <w:sz w:val="24"/>
          <w:szCs w:val="24"/>
        </w:rPr>
        <w:t>insanlıkdışı</w:t>
      </w:r>
      <w:proofErr w:type="spellEnd"/>
      <w:r w:rsidRPr="00E72EDF">
        <w:rPr>
          <w:rFonts w:ascii="Times New Roman" w:hAnsi="Times New Roman" w:cs="Times New Roman"/>
          <w:sz w:val="24"/>
          <w:szCs w:val="24"/>
        </w:rPr>
        <w:t xml:space="preserve"> muamele kapsamında değerlendirerek 3. maddenin ihlal edildiği neticesine ulaşmıştır. Benzer şekilde Kurt kararında da, başvuru sahibinin çektiği uzun süreli elem ve üzüntüye rağmen yetkililerin kayıtsız kalması, insanlık</w:t>
      </w:r>
      <w:r w:rsidR="003B502A" w:rsidRPr="00E72EDF">
        <w:rPr>
          <w:rFonts w:ascii="Times New Roman" w:hAnsi="Times New Roman" w:cs="Times New Roman"/>
          <w:sz w:val="24"/>
          <w:szCs w:val="24"/>
        </w:rPr>
        <w:t xml:space="preserve"> </w:t>
      </w:r>
      <w:r w:rsidRPr="00E72EDF">
        <w:rPr>
          <w:rFonts w:ascii="Times New Roman" w:hAnsi="Times New Roman" w:cs="Times New Roman"/>
          <w:sz w:val="24"/>
          <w:szCs w:val="24"/>
        </w:rPr>
        <w:t>dışı muamele şeklinde 3. maddenin ihlali olarak AİHM tarafından tespit edilmiştir.</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1990’ların ortalarından itibaren AİHM üye devletlerdeki gözaltı merkezlerinde kişilerin işkence mağduru oldukları yönündeki başvurularıyla karşılaşmıştır. İşkence tespiti yapılan belli başlı muamele ve davalar şöyledir:</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-Filistin </w:t>
      </w:r>
      <w:proofErr w:type="gramStart"/>
      <w:r w:rsidRPr="00E72EDF">
        <w:rPr>
          <w:rFonts w:ascii="Times New Roman" w:hAnsi="Times New Roman" w:cs="Times New Roman"/>
          <w:sz w:val="24"/>
          <w:szCs w:val="24"/>
        </w:rPr>
        <w:t>askısı : Aksoy</w:t>
      </w:r>
      <w:proofErr w:type="gramEnd"/>
      <w:r w:rsidRPr="00E72EDF">
        <w:rPr>
          <w:rFonts w:ascii="Times New Roman" w:hAnsi="Times New Roman" w:cs="Times New Roman"/>
          <w:sz w:val="24"/>
          <w:szCs w:val="24"/>
        </w:rPr>
        <w:t xml:space="preserve"> v. Türkiye </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 Şiddetli dayak: </w:t>
      </w:r>
      <w:proofErr w:type="spellStart"/>
      <w:r w:rsidRPr="00E72EDF">
        <w:rPr>
          <w:rFonts w:ascii="Times New Roman" w:hAnsi="Times New Roman" w:cs="Times New Roman"/>
          <w:sz w:val="24"/>
          <w:szCs w:val="24"/>
        </w:rPr>
        <w:t>Selmouni</w:t>
      </w:r>
      <w:proofErr w:type="spellEnd"/>
      <w:r w:rsidRPr="00E72EDF">
        <w:rPr>
          <w:rFonts w:ascii="Times New Roman" w:hAnsi="Times New Roman" w:cs="Times New Roman"/>
          <w:sz w:val="24"/>
          <w:szCs w:val="24"/>
        </w:rPr>
        <w:t xml:space="preserve"> v. Fransa</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-Elektrik şoku: Akkoç v. Türkiye</w:t>
      </w:r>
    </w:p>
    <w:p w:rsidR="003B502A" w:rsidRPr="00E72EDF" w:rsidRDefault="003B502A" w:rsidP="00E72EDF">
      <w:pPr>
        <w:ind w:firstLine="708"/>
        <w:jc w:val="both"/>
        <w:rPr>
          <w:rFonts w:ascii="Times New Roman" w:hAnsi="Times New Roman" w:cs="Times New Roman"/>
          <w:sz w:val="24"/>
          <w:szCs w:val="24"/>
        </w:rPr>
      </w:pPr>
      <w:proofErr w:type="spellStart"/>
      <w:r w:rsidRPr="00E72EDF">
        <w:rPr>
          <w:rFonts w:ascii="Times New Roman" w:hAnsi="Times New Roman" w:cs="Times New Roman"/>
          <w:sz w:val="24"/>
          <w:szCs w:val="24"/>
        </w:rPr>
        <w:t>Tomasi</w:t>
      </w:r>
      <w:proofErr w:type="spellEnd"/>
      <w:r w:rsidRPr="00E72EDF">
        <w:rPr>
          <w:rFonts w:ascii="Times New Roman" w:hAnsi="Times New Roman" w:cs="Times New Roman"/>
          <w:sz w:val="24"/>
          <w:szCs w:val="24"/>
        </w:rPr>
        <w:t xml:space="preserve">, </w:t>
      </w:r>
      <w:proofErr w:type="spellStart"/>
      <w:r w:rsidRPr="00E72EDF">
        <w:rPr>
          <w:rFonts w:ascii="Times New Roman" w:hAnsi="Times New Roman" w:cs="Times New Roman"/>
          <w:sz w:val="24"/>
          <w:szCs w:val="24"/>
        </w:rPr>
        <w:t>Ribitsch</w:t>
      </w:r>
      <w:proofErr w:type="spellEnd"/>
      <w:r w:rsidRPr="00E72EDF">
        <w:rPr>
          <w:rFonts w:ascii="Times New Roman" w:hAnsi="Times New Roman" w:cs="Times New Roman"/>
          <w:sz w:val="24"/>
          <w:szCs w:val="24"/>
        </w:rPr>
        <w:t xml:space="preserve"> ve Tekin davalarındaki dayağı insanlık dışı muamele olarak tespit etmiştir.</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Bunların hepsi gözaltında gerçekleşmiştir.</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Alıkoymanın ilk aşamalarında, uygulayan yetkililer kişiye kimlerin erişebildiği ve belli bir zaman dilimi içinde nerede olduğu bilgilerini doğru olarak açıklayabilmelidir.</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Tutuklular bir başka kırılgan grubu oluşturmaktadır ve suçlulukları mahkeme kararıyla saptanmadığı sürece masumiyet karinesinden yararlanırlar.</w:t>
      </w:r>
    </w:p>
    <w:p w:rsidR="003B502A" w:rsidRPr="00E72EDF" w:rsidRDefault="003B502A"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Aynı şekilde, bazı </w:t>
      </w:r>
      <w:proofErr w:type="gramStart"/>
      <w:r w:rsidRPr="00E72EDF">
        <w:rPr>
          <w:rFonts w:ascii="Times New Roman" w:hAnsi="Times New Roman" w:cs="Times New Roman"/>
          <w:sz w:val="24"/>
          <w:szCs w:val="24"/>
        </w:rPr>
        <w:t>mahkumların</w:t>
      </w:r>
      <w:proofErr w:type="gramEnd"/>
      <w:r w:rsidRPr="00E72EDF">
        <w:rPr>
          <w:rFonts w:ascii="Times New Roman" w:hAnsi="Times New Roman" w:cs="Times New Roman"/>
          <w:sz w:val="24"/>
          <w:szCs w:val="24"/>
        </w:rPr>
        <w:t xml:space="preserve"> özel gereksinimleri olabilir ve bunların yerine getirilmemesi küçük düşürücü muameleye yol açabilir. </w:t>
      </w:r>
      <w:proofErr w:type="spellStart"/>
      <w:r w:rsidRPr="00E72EDF">
        <w:rPr>
          <w:rFonts w:ascii="Times New Roman" w:hAnsi="Times New Roman" w:cs="Times New Roman"/>
          <w:sz w:val="24"/>
          <w:szCs w:val="24"/>
        </w:rPr>
        <w:t>Price</w:t>
      </w:r>
      <w:proofErr w:type="spellEnd"/>
      <w:r w:rsidRPr="00E72EDF">
        <w:rPr>
          <w:rFonts w:ascii="Times New Roman" w:hAnsi="Times New Roman" w:cs="Times New Roman"/>
          <w:sz w:val="24"/>
          <w:szCs w:val="24"/>
        </w:rPr>
        <w:t xml:space="preserve"> davasında mağdur, doğuştan dört organı özürlü olan, böbrek bozukluğu </w:t>
      </w:r>
      <w:proofErr w:type="gramStart"/>
      <w:r w:rsidRPr="00E72EDF">
        <w:rPr>
          <w:rFonts w:ascii="Times New Roman" w:hAnsi="Times New Roman" w:cs="Times New Roman"/>
          <w:sz w:val="24"/>
          <w:szCs w:val="24"/>
        </w:rPr>
        <w:t>dahil</w:t>
      </w:r>
      <w:proofErr w:type="gramEnd"/>
      <w:r w:rsidRPr="00E72EDF">
        <w:rPr>
          <w:rFonts w:ascii="Times New Roman" w:hAnsi="Times New Roman" w:cs="Times New Roman"/>
          <w:sz w:val="24"/>
          <w:szCs w:val="24"/>
        </w:rPr>
        <w:t xml:space="preserve"> bir dizi sağlık sorunu bulunan bir kadındı ve </w:t>
      </w:r>
      <w:r w:rsidRPr="00E72EDF">
        <w:rPr>
          <w:rFonts w:ascii="Times New Roman" w:hAnsi="Times New Roman" w:cs="Times New Roman"/>
          <w:sz w:val="24"/>
          <w:szCs w:val="24"/>
        </w:rPr>
        <w:lastRenderedPageBreak/>
        <w:t xml:space="preserve">mahkemeye saygısızlıktan 7 gün hapis cezasına çarptırılmıştı. Cezayı veren yargıç mağduru cezaevine göndermeden önce nasıl bir yere götürüleceğimi incelememiş, o kadar ileri derecede engelli olan bir insanın ihtiyaçları için gerekli önlemleri almamıştı. İçine konduğu koşullar bu kişinin tıbbi durumu için yetersiz kalmıştı. </w:t>
      </w:r>
    </w:p>
    <w:p w:rsidR="003B502A" w:rsidRPr="00E72EDF" w:rsidRDefault="003B502A" w:rsidP="00E72EDF">
      <w:pPr>
        <w:ind w:firstLine="708"/>
        <w:jc w:val="both"/>
        <w:rPr>
          <w:rFonts w:ascii="Times New Roman" w:hAnsi="Times New Roman" w:cs="Times New Roman"/>
          <w:sz w:val="24"/>
          <w:szCs w:val="24"/>
        </w:rPr>
      </w:pPr>
      <w:proofErr w:type="spellStart"/>
      <w:proofErr w:type="gramStart"/>
      <w:r w:rsidRPr="00E72EDF">
        <w:rPr>
          <w:rFonts w:ascii="Times New Roman" w:hAnsi="Times New Roman" w:cs="Times New Roman"/>
          <w:sz w:val="24"/>
          <w:szCs w:val="24"/>
        </w:rPr>
        <w:t>Bavurucuyu</w:t>
      </w:r>
      <w:proofErr w:type="spellEnd"/>
      <w:r w:rsidRPr="00E72EDF">
        <w:rPr>
          <w:rFonts w:ascii="Times New Roman" w:hAnsi="Times New Roman" w:cs="Times New Roman"/>
          <w:sz w:val="24"/>
          <w:szCs w:val="24"/>
        </w:rPr>
        <w:t xml:space="preserve"> küçük dü</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ürmek veya alçaltmak için kasıtlı bir niyet oldu</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una dair herhangi</w:t>
      </w:r>
      <w:r w:rsidR="00EE3B35" w:rsidRPr="00E72EDF">
        <w:rPr>
          <w:rFonts w:ascii="Times New Roman" w:hAnsi="Times New Roman" w:cs="Times New Roman"/>
          <w:sz w:val="24"/>
          <w:szCs w:val="24"/>
        </w:rPr>
        <w:t xml:space="preserve"> bir delil olmamakla beraber, Aİ</w:t>
      </w:r>
      <w:r w:rsidRPr="00E72EDF">
        <w:rPr>
          <w:rFonts w:ascii="Times New Roman" w:hAnsi="Times New Roman" w:cs="Times New Roman"/>
          <w:sz w:val="24"/>
          <w:szCs w:val="24"/>
        </w:rPr>
        <w:t xml:space="preserve">HM ileri derecede </w:t>
      </w:r>
      <w:r w:rsidR="00EE3B35" w:rsidRPr="00E72EDF">
        <w:rPr>
          <w:rFonts w:ascii="Times New Roman" w:hAnsi="Times New Roman" w:cs="Times New Roman"/>
          <w:sz w:val="24"/>
          <w:szCs w:val="24"/>
        </w:rPr>
        <w:t>engelli</w:t>
      </w:r>
      <w:r w:rsidRPr="00E72EDF">
        <w:rPr>
          <w:rFonts w:ascii="Times New Roman" w:hAnsi="Times New Roman" w:cs="Times New Roman"/>
          <w:sz w:val="24"/>
          <w:szCs w:val="24"/>
        </w:rPr>
        <w:t xml:space="preserve"> olan bir ki</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inin sa</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lı</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ı için tehlikeli olacak kadar so</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uk bir ortamda tutulmasını, yata</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ı çok sert veya eri</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ilemez oldu</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u için bedeninde yara açılması riskinin bulunmasını ve tuvalete gitmesi veya kendisini temizlemesinin ya mümkün olmadı</w:t>
      </w:r>
      <w:r w:rsidR="00EE3B35" w:rsidRPr="00E72EDF">
        <w:rPr>
          <w:rFonts w:ascii="Times New Roman" w:hAnsi="Times New Roman" w:cs="Times New Roman"/>
          <w:sz w:val="24"/>
          <w:szCs w:val="24"/>
        </w:rPr>
        <w:t>ğı</w:t>
      </w:r>
      <w:r w:rsidRPr="00E72EDF">
        <w:rPr>
          <w:rFonts w:ascii="Times New Roman" w:hAnsi="Times New Roman" w:cs="Times New Roman"/>
          <w:sz w:val="24"/>
          <w:szCs w:val="24"/>
        </w:rPr>
        <w:t xml:space="preserve"> ya da büyük zorluklarla mümkün oldu</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u ko</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 xml:space="preserve">ullarda tutulmasını 3. </w:t>
      </w:r>
      <w:proofErr w:type="spellStart"/>
      <w:r w:rsidRPr="00E72EDF">
        <w:rPr>
          <w:rFonts w:ascii="Times New Roman" w:hAnsi="Times New Roman" w:cs="Times New Roman"/>
          <w:sz w:val="24"/>
          <w:szCs w:val="24"/>
        </w:rPr>
        <w:t>Madde’ye</w:t>
      </w:r>
      <w:proofErr w:type="spellEnd"/>
      <w:r w:rsidRPr="00E72EDF">
        <w:rPr>
          <w:rFonts w:ascii="Times New Roman" w:hAnsi="Times New Roman" w:cs="Times New Roman"/>
          <w:sz w:val="24"/>
          <w:szCs w:val="24"/>
        </w:rPr>
        <w:t xml:space="preserve"> aykırılık te</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kil eden küçük dü</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ürücü muamele olarak de</w:t>
      </w:r>
      <w:r w:rsidR="00EE3B35" w:rsidRPr="00E72EDF">
        <w:rPr>
          <w:rFonts w:ascii="Times New Roman" w:hAnsi="Times New Roman" w:cs="Times New Roman"/>
          <w:sz w:val="24"/>
          <w:szCs w:val="24"/>
        </w:rPr>
        <w:t>ğ</w:t>
      </w:r>
      <w:r w:rsidRPr="00E72EDF">
        <w:rPr>
          <w:rFonts w:ascii="Times New Roman" w:hAnsi="Times New Roman" w:cs="Times New Roman"/>
          <w:sz w:val="24"/>
          <w:szCs w:val="24"/>
        </w:rPr>
        <w:t>erlendirmi</w:t>
      </w:r>
      <w:r w:rsidR="00EE3B35" w:rsidRPr="00E72EDF">
        <w:rPr>
          <w:rFonts w:ascii="Times New Roman" w:hAnsi="Times New Roman" w:cs="Times New Roman"/>
          <w:sz w:val="24"/>
          <w:szCs w:val="24"/>
        </w:rPr>
        <w:t>ş</w:t>
      </w:r>
      <w:r w:rsidRPr="00E72EDF">
        <w:rPr>
          <w:rFonts w:ascii="Times New Roman" w:hAnsi="Times New Roman" w:cs="Times New Roman"/>
          <w:sz w:val="24"/>
          <w:szCs w:val="24"/>
        </w:rPr>
        <w:t>tir.</w:t>
      </w:r>
      <w:proofErr w:type="gramEnd"/>
    </w:p>
    <w:p w:rsidR="00912209" w:rsidRPr="00E72EDF" w:rsidRDefault="00912209"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Hücre hapsi veya tecrit uygulaması çoğu kez insanlık dışı veya küçük düşürücü koşul </w:t>
      </w:r>
      <w:proofErr w:type="gramStart"/>
      <w:r w:rsidRPr="00E72EDF">
        <w:rPr>
          <w:rFonts w:ascii="Times New Roman" w:hAnsi="Times New Roman" w:cs="Times New Roman"/>
          <w:sz w:val="24"/>
          <w:szCs w:val="24"/>
        </w:rPr>
        <w:t>şikayetlerine</w:t>
      </w:r>
      <w:proofErr w:type="gramEnd"/>
      <w:r w:rsidRPr="00E72EDF">
        <w:rPr>
          <w:rFonts w:ascii="Times New Roman" w:hAnsi="Times New Roman" w:cs="Times New Roman"/>
          <w:sz w:val="24"/>
          <w:szCs w:val="24"/>
        </w:rPr>
        <w:t xml:space="preserve"> yol açmış olsa da İAHM hücre hapsini tek başına 3. </w:t>
      </w:r>
      <w:proofErr w:type="spellStart"/>
      <w:r w:rsidRPr="00E72EDF">
        <w:rPr>
          <w:rFonts w:ascii="Times New Roman" w:hAnsi="Times New Roman" w:cs="Times New Roman"/>
          <w:sz w:val="24"/>
          <w:szCs w:val="24"/>
        </w:rPr>
        <w:t>Madde’ye</w:t>
      </w:r>
      <w:proofErr w:type="spellEnd"/>
      <w:r w:rsidRPr="00E72EDF">
        <w:rPr>
          <w:rFonts w:ascii="Times New Roman" w:hAnsi="Times New Roman" w:cs="Times New Roman"/>
          <w:sz w:val="24"/>
          <w:szCs w:val="24"/>
        </w:rPr>
        <w:t xml:space="preserve"> aykırı bulmamıştır.</w:t>
      </w:r>
    </w:p>
    <w:p w:rsidR="00912209" w:rsidRPr="00E72EDF" w:rsidRDefault="00912209" w:rsidP="00E72EDF">
      <w:pPr>
        <w:ind w:firstLine="708"/>
        <w:jc w:val="both"/>
        <w:rPr>
          <w:rFonts w:ascii="Times New Roman" w:hAnsi="Times New Roman" w:cs="Times New Roman"/>
          <w:sz w:val="24"/>
          <w:szCs w:val="24"/>
        </w:rPr>
      </w:pPr>
      <w:proofErr w:type="gramStart"/>
      <w:r w:rsidRPr="00E72EDF">
        <w:rPr>
          <w:rFonts w:ascii="Times New Roman" w:hAnsi="Times New Roman" w:cs="Times New Roman"/>
          <w:sz w:val="24"/>
          <w:szCs w:val="24"/>
        </w:rPr>
        <w:t>Mahkumlara</w:t>
      </w:r>
      <w:proofErr w:type="gramEnd"/>
      <w:r w:rsidRPr="00E72EDF">
        <w:rPr>
          <w:rFonts w:ascii="Times New Roman" w:hAnsi="Times New Roman" w:cs="Times New Roman"/>
          <w:sz w:val="24"/>
          <w:szCs w:val="24"/>
        </w:rPr>
        <w:t xml:space="preserve"> kelepçe takılması, üstlerinin aranması veya açık havaya çıkma veya görüş haklarından yoksun bırakılma gibi başka tür kısıtlamalar veya diğer önlemler sürekli olarak takip edilmeli ve denetlenmeli ve uygulanış şekillerinin istismar veya küçük düşürücü uygulama teşkil etmemesi sağlanmalıdır.</w:t>
      </w:r>
    </w:p>
    <w:p w:rsidR="00A26330" w:rsidRPr="00E72EDF" w:rsidRDefault="00A26330" w:rsidP="00E72EDF">
      <w:pPr>
        <w:ind w:firstLine="708"/>
        <w:jc w:val="both"/>
        <w:rPr>
          <w:rFonts w:ascii="Times New Roman" w:hAnsi="Times New Roman" w:cs="Times New Roman"/>
          <w:sz w:val="24"/>
          <w:szCs w:val="24"/>
        </w:rPr>
      </w:pPr>
      <w:proofErr w:type="spellStart"/>
      <w:r w:rsidRPr="00E72EDF">
        <w:rPr>
          <w:rFonts w:ascii="Times New Roman" w:hAnsi="Times New Roman" w:cs="Times New Roman"/>
          <w:sz w:val="24"/>
          <w:szCs w:val="24"/>
        </w:rPr>
        <w:t>Peers</w:t>
      </w:r>
      <w:proofErr w:type="spellEnd"/>
      <w:r w:rsidRPr="00E72EDF">
        <w:rPr>
          <w:rFonts w:ascii="Times New Roman" w:hAnsi="Times New Roman" w:cs="Times New Roman"/>
          <w:sz w:val="24"/>
          <w:szCs w:val="24"/>
        </w:rPr>
        <w:t xml:space="preserve"> davasında (2001, Yunanistan) bir </w:t>
      </w:r>
      <w:proofErr w:type="gramStart"/>
      <w:r w:rsidRPr="00E72EDF">
        <w:rPr>
          <w:rFonts w:ascii="Times New Roman" w:hAnsi="Times New Roman" w:cs="Times New Roman"/>
          <w:sz w:val="24"/>
          <w:szCs w:val="24"/>
        </w:rPr>
        <w:t>mahkum</w:t>
      </w:r>
      <w:proofErr w:type="gramEnd"/>
      <w:r w:rsidRPr="00E72EDF">
        <w:rPr>
          <w:rFonts w:ascii="Times New Roman" w:hAnsi="Times New Roman" w:cs="Times New Roman"/>
          <w:sz w:val="24"/>
          <w:szCs w:val="24"/>
        </w:rPr>
        <w:t xml:space="preserve"> en az iki ay süreyle günün 24 saatinin önemli bir bölümünü havalandırması ve penceresi olmayan ve zaman zaman tahammül edilemeyecek kadar sıcak olabilen hücresindeki yatağında geçirmek zorunda bırakılmıştır. Tuvalete de aynı hücreyi paylaştığı </w:t>
      </w:r>
      <w:proofErr w:type="gramStart"/>
      <w:r w:rsidRPr="00E72EDF">
        <w:rPr>
          <w:rFonts w:ascii="Times New Roman" w:hAnsi="Times New Roman" w:cs="Times New Roman"/>
          <w:sz w:val="24"/>
          <w:szCs w:val="24"/>
        </w:rPr>
        <w:t>mahkumun</w:t>
      </w:r>
      <w:proofErr w:type="gramEnd"/>
      <w:r w:rsidRPr="00E72EDF">
        <w:rPr>
          <w:rFonts w:ascii="Times New Roman" w:hAnsi="Times New Roman" w:cs="Times New Roman"/>
          <w:sz w:val="24"/>
          <w:szCs w:val="24"/>
        </w:rPr>
        <w:t xml:space="preserve"> önünde gitmek ve diğer mahkum tuvaleti kullanırken onu seyretmek zorunda kalmıştır. AİHM, </w:t>
      </w:r>
      <w:proofErr w:type="gramStart"/>
      <w:r w:rsidRPr="00E72EDF">
        <w:rPr>
          <w:rFonts w:ascii="Times New Roman" w:hAnsi="Times New Roman" w:cs="Times New Roman"/>
          <w:sz w:val="24"/>
          <w:szCs w:val="24"/>
        </w:rPr>
        <w:t>şikayet</w:t>
      </w:r>
      <w:proofErr w:type="gramEnd"/>
      <w:r w:rsidRPr="00E72EDF">
        <w:rPr>
          <w:rFonts w:ascii="Times New Roman" w:hAnsi="Times New Roman" w:cs="Times New Roman"/>
          <w:sz w:val="24"/>
          <w:szCs w:val="24"/>
        </w:rPr>
        <w:t xml:space="preserve"> konusu yapılan cezaevi koşullarının mahkumun haysiyetini kırdığını ve kendisinde acı ve aşağılık duyguları uyandırarak, küçük düşürücü ve alçaltıcı etki yarattığını ve muhtemelen de fiziksel ve moral direncini kırdığını kaydetmiştir. AİHM ayrıca, standartlar konusunda yapılan </w:t>
      </w:r>
      <w:proofErr w:type="gramStart"/>
      <w:r w:rsidRPr="00E72EDF">
        <w:rPr>
          <w:rFonts w:ascii="Times New Roman" w:hAnsi="Times New Roman" w:cs="Times New Roman"/>
          <w:sz w:val="24"/>
          <w:szCs w:val="24"/>
        </w:rPr>
        <w:t>şikayetlere</w:t>
      </w:r>
      <w:proofErr w:type="gramEnd"/>
      <w:r w:rsidRPr="00E72EDF">
        <w:rPr>
          <w:rFonts w:ascii="Times New Roman" w:hAnsi="Times New Roman" w:cs="Times New Roman"/>
          <w:sz w:val="24"/>
          <w:szCs w:val="24"/>
        </w:rPr>
        <w:t xml:space="preserve"> rağmen, koşulları iyileştirmek için çaba harcanmamış olmasını mahkuma karşı saygısızlık olarak </w:t>
      </w:r>
      <w:proofErr w:type="spellStart"/>
      <w:r w:rsidRPr="00E72EDF">
        <w:rPr>
          <w:rFonts w:ascii="Times New Roman" w:hAnsi="Times New Roman" w:cs="Times New Roman"/>
          <w:sz w:val="24"/>
          <w:szCs w:val="24"/>
        </w:rPr>
        <w:t>deşerlendirmiştir</w:t>
      </w:r>
      <w:proofErr w:type="spellEnd"/>
      <w:r w:rsidRPr="00E72EDF">
        <w:rPr>
          <w:rFonts w:ascii="Times New Roman" w:hAnsi="Times New Roman" w:cs="Times New Roman"/>
          <w:sz w:val="24"/>
          <w:szCs w:val="24"/>
        </w:rPr>
        <w:t>. Özetle, AİHM başvurucunun cezaevinin tecrit bölümünde maruz bırakıldığı koşulları, AİHS’nin 3. Maddesi kapsamında küçük düşürücü muamele olarak değerlendirmiştir.</w:t>
      </w:r>
    </w:p>
    <w:p w:rsidR="00F70313" w:rsidRPr="00E72EDF" w:rsidRDefault="00F70313" w:rsidP="00E72EDF">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Özellikle psikiyatri hastalarına uygulanan muamele veya cezaların 3. Madde standartlarına uygun olup olmadığının değerlendirilmesinde, bu kişilerin hassasiyeti ve kendilerine yönelik uygulamadan nasıl etkilendiklerini açıklamaktan ve </w:t>
      </w:r>
      <w:proofErr w:type="gramStart"/>
      <w:r w:rsidRPr="00E72EDF">
        <w:rPr>
          <w:rFonts w:ascii="Times New Roman" w:hAnsi="Times New Roman" w:cs="Times New Roman"/>
          <w:sz w:val="24"/>
          <w:szCs w:val="24"/>
        </w:rPr>
        <w:t>şikayette</w:t>
      </w:r>
      <w:proofErr w:type="gramEnd"/>
      <w:r w:rsidRPr="00E72EDF">
        <w:rPr>
          <w:rFonts w:ascii="Times New Roman" w:hAnsi="Times New Roman" w:cs="Times New Roman"/>
          <w:sz w:val="24"/>
          <w:szCs w:val="24"/>
        </w:rPr>
        <w:t xml:space="preserve"> bulunmaktan </w:t>
      </w:r>
      <w:r w:rsidRPr="00E72EDF">
        <w:rPr>
          <w:rFonts w:ascii="Times New Roman" w:hAnsi="Times New Roman" w:cs="Times New Roman"/>
          <w:sz w:val="24"/>
          <w:szCs w:val="24"/>
        </w:rPr>
        <w:lastRenderedPageBreak/>
        <w:t xml:space="preserve">aciz olmaları dikkate alınmak zorundadır. Psikiyatrik hastalara yönelik kabul edilebilir tedavi standartları da evrim geçirmektedir. Kelepçe veya bağlama kayışı, deli gömleği </w:t>
      </w:r>
      <w:proofErr w:type="spellStart"/>
      <w:r w:rsidRPr="00E72EDF">
        <w:rPr>
          <w:rFonts w:ascii="Times New Roman" w:hAnsi="Times New Roman" w:cs="Times New Roman"/>
          <w:sz w:val="24"/>
          <w:szCs w:val="24"/>
        </w:rPr>
        <w:t>v.s</w:t>
      </w:r>
      <w:proofErr w:type="spellEnd"/>
      <w:r w:rsidRPr="00E72EDF">
        <w:rPr>
          <w:rFonts w:ascii="Times New Roman" w:hAnsi="Times New Roman" w:cs="Times New Roman"/>
          <w:sz w:val="24"/>
          <w:szCs w:val="24"/>
        </w:rPr>
        <w:t>. gibi fiziksel kısıtlama gereçlerinin kullanımı özel bir dikkatle izlenmelidir. Bu gibi gereçler ancak çok ender olarak kullanılmalıdır. Bir hukuk sisteminde bu tekniklerin düzenli olarak kullanılmasına izin verilmesi veya bu gibi gereçlerin hekim tarafından özellikle önerilmemi</w:t>
      </w:r>
      <w:r w:rsidR="00BB4801" w:rsidRPr="00E72EDF">
        <w:rPr>
          <w:rFonts w:ascii="Times New Roman" w:hAnsi="Times New Roman" w:cs="Times New Roman"/>
          <w:sz w:val="24"/>
          <w:szCs w:val="24"/>
        </w:rPr>
        <w:t>ş</w:t>
      </w:r>
      <w:r w:rsidRPr="00E72EDF">
        <w:rPr>
          <w:rFonts w:ascii="Times New Roman" w:hAnsi="Times New Roman" w:cs="Times New Roman"/>
          <w:sz w:val="24"/>
          <w:szCs w:val="24"/>
        </w:rPr>
        <w:t xml:space="preserve"> olması veya bu gereçlerin kullanıldı</w:t>
      </w:r>
      <w:r w:rsidR="00BB4801" w:rsidRPr="00E72EDF">
        <w:rPr>
          <w:rFonts w:ascii="Times New Roman" w:hAnsi="Times New Roman" w:cs="Times New Roman"/>
          <w:sz w:val="24"/>
          <w:szCs w:val="24"/>
        </w:rPr>
        <w:t>ğ</w:t>
      </w:r>
      <w:r w:rsidRPr="00E72EDF">
        <w:rPr>
          <w:rFonts w:ascii="Times New Roman" w:hAnsi="Times New Roman" w:cs="Times New Roman"/>
          <w:sz w:val="24"/>
          <w:szCs w:val="24"/>
        </w:rPr>
        <w:t>ı hemen hekime bildirilerek onayının alınmaması durumlarında</w:t>
      </w:r>
      <w:r w:rsidR="00BB4801" w:rsidRPr="00E72EDF">
        <w:rPr>
          <w:rFonts w:ascii="Times New Roman" w:hAnsi="Times New Roman" w:cs="Times New Roman"/>
          <w:sz w:val="24"/>
          <w:szCs w:val="24"/>
        </w:rPr>
        <w:t>, Aİ</w:t>
      </w:r>
      <w:r w:rsidRPr="00E72EDF">
        <w:rPr>
          <w:rFonts w:ascii="Times New Roman" w:hAnsi="Times New Roman" w:cs="Times New Roman"/>
          <w:sz w:val="24"/>
          <w:szCs w:val="24"/>
        </w:rPr>
        <w:t>HS’ne uyum konusunda problem ya</w:t>
      </w:r>
      <w:r w:rsidR="00BB4801" w:rsidRPr="00E72EDF">
        <w:rPr>
          <w:rFonts w:ascii="Times New Roman" w:hAnsi="Times New Roman" w:cs="Times New Roman"/>
          <w:sz w:val="24"/>
          <w:szCs w:val="24"/>
        </w:rPr>
        <w:t>ş</w:t>
      </w:r>
      <w:r w:rsidRPr="00E72EDF">
        <w:rPr>
          <w:rFonts w:ascii="Times New Roman" w:hAnsi="Times New Roman" w:cs="Times New Roman"/>
          <w:sz w:val="24"/>
          <w:szCs w:val="24"/>
        </w:rPr>
        <w:t>anması muhtemeldir.</w:t>
      </w:r>
    </w:p>
    <w:p w:rsidR="00FA67AC" w:rsidRPr="00E72EDF" w:rsidRDefault="001D35F9" w:rsidP="00E72EDF">
      <w:pPr>
        <w:ind w:firstLine="708"/>
        <w:jc w:val="both"/>
        <w:rPr>
          <w:rFonts w:ascii="Times New Roman" w:eastAsia="Times New Roman" w:hAnsi="Times New Roman" w:cs="Times New Roman"/>
          <w:color w:val="000000" w:themeColor="text1"/>
          <w:sz w:val="24"/>
          <w:szCs w:val="24"/>
          <w:lang w:eastAsia="tr-TR"/>
        </w:rPr>
      </w:pPr>
      <w:r w:rsidRPr="00E72EDF">
        <w:rPr>
          <w:rFonts w:ascii="Times New Roman" w:eastAsia="Times New Roman" w:hAnsi="Times New Roman" w:cs="Times New Roman"/>
          <w:color w:val="000000" w:themeColor="text1"/>
          <w:sz w:val="24"/>
          <w:szCs w:val="24"/>
          <w:lang w:eastAsia="tr-TR"/>
        </w:rPr>
        <w:t xml:space="preserve">İşkence veya kötü muamele gören bireylerin, Avrupa İnsan Hakları Mahkemesi'ne başvurabilmesi, kamu kurumlarınca özgürlüğünden yoksun bırakılan kimselerin işkence veya fena muamele görmesini etkili bir şekilde engellemede yetersiz kalmıştır. </w:t>
      </w:r>
      <w:proofErr w:type="gramStart"/>
      <w:r w:rsidRPr="00E72EDF">
        <w:rPr>
          <w:rFonts w:ascii="Times New Roman" w:eastAsia="Times New Roman" w:hAnsi="Times New Roman" w:cs="Times New Roman"/>
          <w:color w:val="000000" w:themeColor="text1"/>
          <w:sz w:val="24"/>
          <w:szCs w:val="24"/>
          <w:lang w:eastAsia="tr-TR"/>
        </w:rPr>
        <w:t>Bunun önüne geçilebilmek için yerinde (taraf ülkelerde), genel denetime dayanan, yargı dışı bir koruma sisteminin oluşturulmasında yarar görülmüş ve bu amaçla</w:t>
      </w:r>
      <w:r w:rsidRPr="00E72EDF">
        <w:rPr>
          <w:rFonts w:ascii="Times New Roman" w:eastAsia="Times New Roman" w:hAnsi="Times New Roman" w:cs="Times New Roman"/>
          <w:i/>
          <w:iCs/>
          <w:color w:val="000000" w:themeColor="text1"/>
          <w:sz w:val="24"/>
          <w:szCs w:val="24"/>
          <w:lang w:eastAsia="tr-TR"/>
        </w:rPr>
        <w:t> “İşkence ve İnsanlık dışı veya Onur Kırıcı Davranış veya Cezanın Önlenmesine İlişkin Avrupa Sözleşmesi”</w:t>
      </w:r>
      <w:r w:rsidRPr="00E72EDF">
        <w:rPr>
          <w:rFonts w:ascii="Times New Roman" w:eastAsia="Times New Roman" w:hAnsi="Times New Roman" w:cs="Times New Roman"/>
          <w:color w:val="000000" w:themeColor="text1"/>
          <w:sz w:val="24"/>
          <w:szCs w:val="24"/>
          <w:lang w:eastAsia="tr-TR"/>
        </w:rPr>
        <w:t> hazırlanarak 26.11.1987'de üye devletlerin imzasına sunulmuş; Türkiye tarafından da 26.2.1988'de imzalanmıştır.</w:t>
      </w:r>
      <w:proofErr w:type="gramEnd"/>
    </w:p>
    <w:p w:rsidR="007F40DF" w:rsidRPr="00E72EDF" w:rsidRDefault="007F40DF" w:rsidP="00E72EDF">
      <w:pPr>
        <w:ind w:firstLine="708"/>
        <w:jc w:val="both"/>
        <w:rPr>
          <w:rFonts w:ascii="Times New Roman" w:eastAsia="Times New Roman" w:hAnsi="Times New Roman" w:cs="Times New Roman"/>
          <w:color w:val="000000" w:themeColor="text1"/>
          <w:sz w:val="24"/>
          <w:szCs w:val="24"/>
          <w:lang w:eastAsia="tr-TR"/>
        </w:rPr>
      </w:pPr>
      <w:r w:rsidRPr="00E72EDF">
        <w:rPr>
          <w:rFonts w:ascii="Times New Roman" w:eastAsia="Times New Roman" w:hAnsi="Times New Roman" w:cs="Times New Roman"/>
          <w:i/>
          <w:color w:val="000000" w:themeColor="text1"/>
          <w:sz w:val="24"/>
          <w:szCs w:val="24"/>
          <w:lang w:eastAsia="tr-TR"/>
        </w:rPr>
        <w:t>Kayıp vakaları</w:t>
      </w:r>
      <w:r w:rsidRPr="00E72EDF">
        <w:rPr>
          <w:rFonts w:ascii="Times New Roman" w:eastAsia="Times New Roman" w:hAnsi="Times New Roman" w:cs="Times New Roman"/>
          <w:color w:val="000000" w:themeColor="text1"/>
          <w:sz w:val="24"/>
          <w:szCs w:val="24"/>
          <w:lang w:eastAsia="tr-TR"/>
        </w:rPr>
        <w:t xml:space="preserve"> 3. Madde açısından önemli bir durum oluşturmaktadır. Kayıp, bir kişinin devlet görevlileri adına ya da onların bilgisi </w:t>
      </w:r>
      <w:proofErr w:type="gramStart"/>
      <w:r w:rsidRPr="00E72EDF">
        <w:rPr>
          <w:rFonts w:ascii="Times New Roman" w:eastAsia="Times New Roman" w:hAnsi="Times New Roman" w:cs="Times New Roman"/>
          <w:color w:val="000000" w:themeColor="text1"/>
          <w:sz w:val="24"/>
          <w:szCs w:val="24"/>
          <w:lang w:eastAsia="tr-TR"/>
        </w:rPr>
        <w:t>dahilinde</w:t>
      </w:r>
      <w:proofErr w:type="gramEnd"/>
      <w:r w:rsidRPr="00E72EDF">
        <w:rPr>
          <w:rFonts w:ascii="Times New Roman" w:eastAsia="Times New Roman" w:hAnsi="Times New Roman" w:cs="Times New Roman"/>
          <w:color w:val="000000" w:themeColor="text1"/>
          <w:sz w:val="24"/>
          <w:szCs w:val="24"/>
          <w:lang w:eastAsia="tr-TR"/>
        </w:rPr>
        <w:t xml:space="preserve"> kayıt dışı olarak alıkonulması durumudur. AİHM bu durumu 3. Madde değil, 5. Madde kapsamındaki özgürlük ve güvenlik hakkı kapsamında ele almaktadır. Bazı durumlarda kişinin “kaybolmadan” önce kötü muamele gördüğüne dair deliller olabileceğini kabul etmektedir. Ancak kayıp biri için bu değerlendirmenin </w:t>
      </w:r>
      <w:proofErr w:type="gramStart"/>
      <w:r w:rsidRPr="00E72EDF">
        <w:rPr>
          <w:rFonts w:ascii="Times New Roman" w:eastAsia="Times New Roman" w:hAnsi="Times New Roman" w:cs="Times New Roman"/>
          <w:color w:val="000000" w:themeColor="text1"/>
          <w:sz w:val="24"/>
          <w:szCs w:val="24"/>
          <w:lang w:eastAsia="tr-TR"/>
        </w:rPr>
        <w:t>spekülasyon</w:t>
      </w:r>
      <w:proofErr w:type="gramEnd"/>
      <w:r w:rsidRPr="00E72EDF">
        <w:rPr>
          <w:rFonts w:ascii="Times New Roman" w:eastAsia="Times New Roman" w:hAnsi="Times New Roman" w:cs="Times New Roman"/>
          <w:color w:val="000000" w:themeColor="text1"/>
          <w:sz w:val="24"/>
          <w:szCs w:val="24"/>
          <w:lang w:eastAsia="tr-TR"/>
        </w:rPr>
        <w:t xml:space="preserve"> düzeyinde kalacağı düşüncesindedir. </w:t>
      </w:r>
      <w:proofErr w:type="spellStart"/>
      <w:r w:rsidRPr="00E72EDF">
        <w:rPr>
          <w:rFonts w:ascii="Times New Roman" w:eastAsia="Times New Roman" w:hAnsi="Times New Roman" w:cs="Times New Roman"/>
          <w:color w:val="000000" w:themeColor="text1"/>
          <w:sz w:val="24"/>
          <w:szCs w:val="24"/>
          <w:lang w:eastAsia="tr-TR"/>
        </w:rPr>
        <w:t>AİHM’e</w:t>
      </w:r>
      <w:proofErr w:type="spellEnd"/>
      <w:r w:rsidRPr="00E72EDF">
        <w:rPr>
          <w:rFonts w:ascii="Times New Roman" w:eastAsia="Times New Roman" w:hAnsi="Times New Roman" w:cs="Times New Roman"/>
          <w:color w:val="000000" w:themeColor="text1"/>
          <w:sz w:val="24"/>
          <w:szCs w:val="24"/>
          <w:lang w:eastAsia="tr-TR"/>
        </w:rPr>
        <w:t xml:space="preserve"> göre, resmi kayıtlar dışında alıkonulan ve bu nedenle gerekli hukuksal garantilerden yoksun olan kişilerin maruz kalacağı muamele, 3. Maddeden çok 5. Madde kapsamına giren ayrı ve vahim bir konudur.</w:t>
      </w:r>
    </w:p>
    <w:p w:rsidR="005C5582" w:rsidRPr="00E72EDF" w:rsidRDefault="005C5582" w:rsidP="00E72EDF">
      <w:pPr>
        <w:ind w:firstLine="708"/>
        <w:jc w:val="both"/>
        <w:rPr>
          <w:rFonts w:ascii="Times New Roman" w:eastAsia="Times New Roman" w:hAnsi="Times New Roman" w:cs="Times New Roman"/>
          <w:color w:val="000000" w:themeColor="text1"/>
          <w:sz w:val="24"/>
          <w:szCs w:val="24"/>
          <w:lang w:eastAsia="tr-TR"/>
        </w:rPr>
      </w:pPr>
      <w:r w:rsidRPr="00E72EDF">
        <w:rPr>
          <w:rFonts w:ascii="Times New Roman" w:eastAsia="Times New Roman" w:hAnsi="Times New Roman" w:cs="Times New Roman"/>
          <w:color w:val="000000" w:themeColor="text1"/>
          <w:sz w:val="24"/>
          <w:szCs w:val="24"/>
          <w:lang w:eastAsia="tr-TR"/>
        </w:rPr>
        <w:t>Taş v. Türkiye davasında AİHM başvurucunun çabaları karşısında yetkililerin tutumundaki kayıtsızlık ve vurdumduymazlık ve bu nedenle başvurucunun yaşadığı derin acı ve belirsizlik duygusunu dikkate alarak, yetkililerin tutumu yüzünden başvurucunun 3. Madde kapsamında ihlal oluşturacak ölçüde mağdur olduğunu saptamıştır. Benzer şekilde, Timurtaş ve Çiçek davalarında da başvurucular kaybedilen kişinin ebeveynleriydi ve yetkililerin kayıtsız ve vurdumduymaz tutumundan mağdur olmuşlardı. AİHM bu durumlardaki ihlali, yetkililerin dikkatlerine sunulan bir konuda gösterdikleri tepki ve davranışa dayandırmaktadır.</w:t>
      </w:r>
    </w:p>
    <w:p w:rsidR="00D611CF" w:rsidRDefault="00D611CF" w:rsidP="00E72EDF">
      <w:pPr>
        <w:ind w:firstLine="708"/>
        <w:jc w:val="both"/>
        <w:rPr>
          <w:rFonts w:ascii="Times New Roman" w:eastAsia="Times New Roman" w:hAnsi="Times New Roman" w:cs="Times New Roman"/>
          <w:b/>
          <w:i/>
          <w:color w:val="000000" w:themeColor="text1"/>
          <w:sz w:val="24"/>
          <w:szCs w:val="24"/>
          <w:lang w:eastAsia="tr-TR"/>
        </w:rPr>
      </w:pPr>
    </w:p>
    <w:sectPr w:rsidR="00D61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32"/>
    <w:rsid w:val="0003122E"/>
    <w:rsid w:val="000B7D51"/>
    <w:rsid w:val="000C38DD"/>
    <w:rsid w:val="000E2862"/>
    <w:rsid w:val="000E40D8"/>
    <w:rsid w:val="00111482"/>
    <w:rsid w:val="00120743"/>
    <w:rsid w:val="001405D9"/>
    <w:rsid w:val="001657E9"/>
    <w:rsid w:val="001B044D"/>
    <w:rsid w:val="001B2332"/>
    <w:rsid w:val="001D315F"/>
    <w:rsid w:val="001D35F9"/>
    <w:rsid w:val="001E16B0"/>
    <w:rsid w:val="001F36A4"/>
    <w:rsid w:val="00214590"/>
    <w:rsid w:val="00220862"/>
    <w:rsid w:val="00220D80"/>
    <w:rsid w:val="00227F94"/>
    <w:rsid w:val="00230D46"/>
    <w:rsid w:val="00253954"/>
    <w:rsid w:val="002564CF"/>
    <w:rsid w:val="00271478"/>
    <w:rsid w:val="00287148"/>
    <w:rsid w:val="00292652"/>
    <w:rsid w:val="002A5A67"/>
    <w:rsid w:val="002D2FF2"/>
    <w:rsid w:val="002D752A"/>
    <w:rsid w:val="002E5414"/>
    <w:rsid w:val="00306B59"/>
    <w:rsid w:val="00327473"/>
    <w:rsid w:val="00334E40"/>
    <w:rsid w:val="00350F46"/>
    <w:rsid w:val="00355E12"/>
    <w:rsid w:val="003B502A"/>
    <w:rsid w:val="003E1064"/>
    <w:rsid w:val="00410B1B"/>
    <w:rsid w:val="0043283E"/>
    <w:rsid w:val="004B7B80"/>
    <w:rsid w:val="004C3CCD"/>
    <w:rsid w:val="004C60BE"/>
    <w:rsid w:val="004D16C6"/>
    <w:rsid w:val="004F1505"/>
    <w:rsid w:val="00551161"/>
    <w:rsid w:val="00591342"/>
    <w:rsid w:val="005C5582"/>
    <w:rsid w:val="005D4A8B"/>
    <w:rsid w:val="005F2B58"/>
    <w:rsid w:val="006215C7"/>
    <w:rsid w:val="006576B9"/>
    <w:rsid w:val="00692C26"/>
    <w:rsid w:val="006A5325"/>
    <w:rsid w:val="006B3BDA"/>
    <w:rsid w:val="007233F3"/>
    <w:rsid w:val="0074351B"/>
    <w:rsid w:val="0077422C"/>
    <w:rsid w:val="007F40DF"/>
    <w:rsid w:val="008203BC"/>
    <w:rsid w:val="00897772"/>
    <w:rsid w:val="008D27F2"/>
    <w:rsid w:val="008E6579"/>
    <w:rsid w:val="00912209"/>
    <w:rsid w:val="00923C3E"/>
    <w:rsid w:val="009248F2"/>
    <w:rsid w:val="00934AD0"/>
    <w:rsid w:val="009B6FED"/>
    <w:rsid w:val="00A2495F"/>
    <w:rsid w:val="00A26330"/>
    <w:rsid w:val="00A6592A"/>
    <w:rsid w:val="00A67B92"/>
    <w:rsid w:val="00A67E8B"/>
    <w:rsid w:val="00A70951"/>
    <w:rsid w:val="00A75C39"/>
    <w:rsid w:val="00A976A1"/>
    <w:rsid w:val="00AA606F"/>
    <w:rsid w:val="00B04575"/>
    <w:rsid w:val="00B04BD4"/>
    <w:rsid w:val="00B37F1E"/>
    <w:rsid w:val="00B51613"/>
    <w:rsid w:val="00B87B2B"/>
    <w:rsid w:val="00B906A5"/>
    <w:rsid w:val="00BA2F19"/>
    <w:rsid w:val="00BB4801"/>
    <w:rsid w:val="00C2269F"/>
    <w:rsid w:val="00C86AEA"/>
    <w:rsid w:val="00CD7F19"/>
    <w:rsid w:val="00D015F7"/>
    <w:rsid w:val="00D02762"/>
    <w:rsid w:val="00D21944"/>
    <w:rsid w:val="00D31A8F"/>
    <w:rsid w:val="00D4415B"/>
    <w:rsid w:val="00D611CF"/>
    <w:rsid w:val="00D66FE0"/>
    <w:rsid w:val="00E01415"/>
    <w:rsid w:val="00E161CE"/>
    <w:rsid w:val="00E2353B"/>
    <w:rsid w:val="00E72EDF"/>
    <w:rsid w:val="00E76B21"/>
    <w:rsid w:val="00E9670D"/>
    <w:rsid w:val="00ED1D2F"/>
    <w:rsid w:val="00EE3B35"/>
    <w:rsid w:val="00F023B7"/>
    <w:rsid w:val="00F40E79"/>
    <w:rsid w:val="00F64A04"/>
    <w:rsid w:val="00F70313"/>
    <w:rsid w:val="00F742BE"/>
    <w:rsid w:val="00FA67AC"/>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15786-F53D-41BB-A2D1-EBEACBF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A67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A67AC"/>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FA67AC"/>
    <w:rPr>
      <w:color w:val="0000FF"/>
      <w:u w:val="single"/>
    </w:rPr>
  </w:style>
  <w:style w:type="paragraph" w:styleId="NormalWeb">
    <w:name w:val="Normal (Web)"/>
    <w:basedOn w:val="Normal"/>
    <w:uiPriority w:val="99"/>
    <w:semiHidden/>
    <w:unhideWhenUsed/>
    <w:rsid w:val="00FA6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A67AC"/>
    <w:rPr>
      <w:i/>
      <w:iCs/>
    </w:rPr>
  </w:style>
  <w:style w:type="character" w:styleId="Gl">
    <w:name w:val="Strong"/>
    <w:basedOn w:val="VarsaylanParagrafYazTipi"/>
    <w:uiPriority w:val="22"/>
    <w:qFormat/>
    <w:rsid w:val="00FA6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10571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3</cp:revision>
  <dcterms:created xsi:type="dcterms:W3CDTF">2018-10-31T08:56:00Z</dcterms:created>
  <dcterms:modified xsi:type="dcterms:W3CDTF">2018-10-31T08:57:00Z</dcterms:modified>
</cp:coreProperties>
</file>