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5C" w:rsidRPr="00A519AB" w:rsidRDefault="00DA355C" w:rsidP="00DA355C">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DA355C" w:rsidRPr="00A519AB" w:rsidRDefault="00DA355C" w:rsidP="00DA355C">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Toplumsal Kurumlar</w:t>
      </w:r>
    </w:p>
    <w:p w:rsidR="00DA355C" w:rsidRPr="00A519AB" w:rsidRDefault="00DA355C" w:rsidP="00DA355C">
      <w:pPr>
        <w:ind w:left="360"/>
        <w:jc w:val="both"/>
        <w:rPr>
          <w:rFonts w:ascii="Times New Roman" w:hAnsi="Times New Roman" w:cs="Times New Roman"/>
          <w:sz w:val="24"/>
          <w:szCs w:val="24"/>
        </w:rPr>
      </w:pPr>
      <w:r w:rsidRPr="00A519AB">
        <w:rPr>
          <w:rFonts w:ascii="Times New Roman" w:hAnsi="Times New Roman" w:cs="Times New Roman"/>
          <w:sz w:val="24"/>
          <w:szCs w:val="24"/>
        </w:rPr>
        <w:t>“Kurum” kelimesinin sözlüklerdeki karşılığı, “kuruluş”, “müessese”, “tesis” olarak ifade edilmektedir. Sosyolojinin pek çok terimi gibi “kurum” da gündelik dilde değişik anlamlarda kullanılmaktadır. “Çocuk Esirgeme Kurumu”, “Türk Dil Kurumu”, “Sosyal Sigortalar Kurumu” gibi. Bunların hepsi de kullanıldıkları bağlamlarda doğrudur, ancak sosyolojik açıdan kurum daha farklı bir anlama işaret etmektedir. Bir kurum bir sosyal grubun üyelerinin temel sosyal ihtiyaçlarını karşılamak amacıyla sosyal grup üyeleri tarafından ortaklaşa kabul edilmiş ve onaylanmış, oldukça sürekli sosyal örüntü, rol ve ilişkiler seti olarak tarif edilebilir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1994:120-121). Kurumlar tarafından düzenlenen davranış örüntüleri toplumların temel sorunlarıyla ilişkilidir. Kurumlar bireylerin davranışlarını, kesin, sürekli ve örgütlenmiş kalıplara göre düzenlemeyi içerir. Bu kalıplar belirli normatif düzen ve resmi prensipleri içermektedir (Akan, 2003:96). Sosyolojik açıdan kurum, ne bir kişidir, ne de bir gruptur. Kültürün bir kısmıdır; insanların hayat tarzlarının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bir parçasıdır. Sosyal ilişki ve roller, kurumların temel ögeleridir. Bu nedenle kurumlar, bazı temel grup ihtiyaçlarının karşılanmasına yönelik olarak toplumsal çoğunluğun paylaştığı davranış örüntülerinin bileşiminden meydana gelir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1994:119). </w:t>
      </w:r>
    </w:p>
    <w:p w:rsidR="00DA355C" w:rsidRPr="00A519AB" w:rsidRDefault="00DA355C" w:rsidP="00DA355C">
      <w:pPr>
        <w:ind w:left="360"/>
        <w:jc w:val="both"/>
        <w:rPr>
          <w:rFonts w:ascii="Times New Roman" w:hAnsi="Times New Roman" w:cs="Times New Roman"/>
          <w:sz w:val="24"/>
          <w:szCs w:val="24"/>
        </w:rPr>
      </w:pPr>
      <w:r w:rsidRPr="00A519AB">
        <w:rPr>
          <w:rFonts w:ascii="Times New Roman" w:hAnsi="Times New Roman" w:cs="Times New Roman"/>
          <w:sz w:val="24"/>
          <w:szCs w:val="24"/>
        </w:rPr>
        <w:t>Temel toplumsal kurumların, daha geniş toplumsal sistem içindeki konumlanışlarını bir tablo yardımı ile gösterecek olursak toplumsal kurumların, alt kurumları ile somutlaşıp işlevlerini nasıl yerine getirdiklerini daha iyi kavrayabiliriz: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135"/>
        <w:gridCol w:w="1277"/>
        <w:gridCol w:w="1748"/>
        <w:gridCol w:w="1591"/>
      </w:tblGrid>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KURUMLAR</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İŞLEV</w:t>
            </w:r>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ROL</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FİZİKİ ÖZELLİK</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SEMBOL</w:t>
            </w:r>
          </w:p>
        </w:tc>
      </w:tr>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AİLE</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Neslin Devamı</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Dayanışma</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Sosyalleştirme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Statü Tayini</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Psikolojik Tatmin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Cinsel Tatmin</w:t>
            </w:r>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Annelik Babalık</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Evlatlık</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Akrabalık</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Ev-Bark</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Mobilya</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Araba vb.</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Söz Kesme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Nişan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Nikâh Törenleri</w:t>
            </w:r>
          </w:p>
        </w:tc>
      </w:tr>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EKONOMİ</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Maddi İhtiyaçların Giderilmesi</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Üretim ve Tüketim</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Bölüşüm</w:t>
            </w:r>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İşveren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İşçi</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Tüketici</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Fabrika</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Büro</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İşyeri</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Ticaret Belgesi</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Marka</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Amblem</w:t>
            </w:r>
          </w:p>
        </w:tc>
      </w:tr>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DİN</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İnanma İhtiyacı</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İç Huzurun Sağlanması</w:t>
            </w:r>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Din Adamı</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Cemaat</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Ümmet</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İbadethane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Camii</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Kilise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Havra</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Kutsal Metinler</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Kur’an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İncil</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Tevrat</w:t>
            </w:r>
          </w:p>
        </w:tc>
      </w:tr>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EĞİTİM</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Sosyalleştirme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Kültür Aktarımı</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proofErr w:type="spellStart"/>
            <w:r w:rsidRPr="00A519AB">
              <w:rPr>
                <w:rFonts w:ascii="Times New Roman" w:eastAsia="Calibri" w:hAnsi="Times New Roman" w:cs="Times New Roman"/>
                <w:sz w:val="24"/>
                <w:szCs w:val="24"/>
              </w:rPr>
              <w:t>Mobilite</w:t>
            </w:r>
            <w:proofErr w:type="spellEnd"/>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Öğretmen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Öğrenci</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Okul</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Kurs</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Dershane</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Belge</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Diploma Kitaplar</w:t>
            </w:r>
          </w:p>
        </w:tc>
      </w:tr>
      <w:tr w:rsidR="00DA355C" w:rsidRPr="00A519AB" w:rsidTr="00961A3B">
        <w:trPr>
          <w:jc w:val="center"/>
        </w:trPr>
        <w:tc>
          <w:tcPr>
            <w:tcW w:w="15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SİYASET</w:t>
            </w:r>
          </w:p>
        </w:tc>
        <w:tc>
          <w:tcPr>
            <w:tcW w:w="2135"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Yönetme ve Yönetilme Biçimlerinin Organizasyonu</w:t>
            </w:r>
          </w:p>
        </w:tc>
        <w:tc>
          <w:tcPr>
            <w:tcW w:w="1277"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Yöneten</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Yönetilen</w:t>
            </w:r>
          </w:p>
        </w:tc>
        <w:tc>
          <w:tcPr>
            <w:tcW w:w="1748"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Kamu Binaları</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Siyasi Parti Binaları</w:t>
            </w:r>
          </w:p>
        </w:tc>
        <w:tc>
          <w:tcPr>
            <w:tcW w:w="1591" w:type="dxa"/>
            <w:shd w:val="clear" w:color="auto" w:fill="auto"/>
            <w:vAlign w:val="center"/>
          </w:tcPr>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Bayrak</w:t>
            </w:r>
          </w:p>
          <w:p w:rsidR="00DA355C" w:rsidRPr="00A519AB" w:rsidRDefault="00DA355C" w:rsidP="00961A3B">
            <w:pPr>
              <w:autoSpaceDE w:val="0"/>
              <w:autoSpaceDN w:val="0"/>
              <w:adjustRightInd w:val="0"/>
              <w:spacing w:after="0" w:line="240" w:lineRule="auto"/>
              <w:jc w:val="both"/>
              <w:rPr>
                <w:rFonts w:ascii="Times New Roman" w:eastAsia="Calibri" w:hAnsi="Times New Roman" w:cs="Times New Roman"/>
                <w:sz w:val="24"/>
                <w:szCs w:val="24"/>
              </w:rPr>
            </w:pPr>
            <w:r w:rsidRPr="00A519AB">
              <w:rPr>
                <w:rFonts w:ascii="Times New Roman" w:eastAsia="Calibri" w:hAnsi="Times New Roman" w:cs="Times New Roman"/>
                <w:sz w:val="24"/>
                <w:szCs w:val="24"/>
              </w:rPr>
              <w:t>Anayasa</w:t>
            </w:r>
          </w:p>
        </w:tc>
      </w:tr>
    </w:tbl>
    <w:p w:rsidR="00DA355C" w:rsidRPr="00A519AB" w:rsidRDefault="00DA355C" w:rsidP="00DA355C">
      <w:pPr>
        <w:ind w:left="360"/>
        <w:jc w:val="both"/>
        <w:rPr>
          <w:rFonts w:ascii="Times New Roman" w:hAnsi="Times New Roman" w:cs="Times New Roman"/>
          <w:sz w:val="24"/>
          <w:szCs w:val="24"/>
        </w:rPr>
      </w:pPr>
    </w:p>
    <w:p w:rsidR="007B2DA8" w:rsidRDefault="00DA355C" w:rsidP="00DA355C">
      <w:r w:rsidRPr="00A519AB">
        <w:rPr>
          <w:rFonts w:ascii="Times New Roman" w:hAnsi="Times New Roman" w:cs="Times New Roman"/>
          <w:sz w:val="24"/>
          <w:szCs w:val="24"/>
        </w:rPr>
        <w:lastRenderedPageBreak/>
        <w:t xml:space="preserve">Kurumların bir parçası olan örüntüler, roller ve ilişkiler her toplumda bulunurlar. Örüntü rol ve ilişkiler her yerde sistemli bir biçimde kurumlar içinde düzenlenmiştir. Temel kurumlar her yerde zorunlu olarak bulunurlar ve sosyal davranışları kurumsallaştırırlar. Bütün toplumlar, temel sosyal gereksinimlerini, kültürel olarak onaylanmış ve sürekliliği olan sistematik formlar aracılığıyla karşılama yollarını icat etmişlerdir. Aile, eğitim, din, ekonomi ve siyaset, gibi temel toplumsal kurumlar,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yapı içinde yapılaşmış formlardır (</w:t>
      </w:r>
      <w:proofErr w:type="spellStart"/>
      <w:r w:rsidRPr="00A519AB">
        <w:rPr>
          <w:rFonts w:ascii="Times New Roman" w:hAnsi="Times New Roman" w:cs="Times New Roman"/>
          <w:sz w:val="24"/>
          <w:szCs w:val="24"/>
        </w:rPr>
        <w:t>Arslantürk</w:t>
      </w:r>
      <w:proofErr w:type="spellEnd"/>
      <w:r w:rsidRPr="00A519AB">
        <w:rPr>
          <w:rFonts w:ascii="Times New Roman" w:hAnsi="Times New Roman" w:cs="Times New Roman"/>
          <w:sz w:val="24"/>
          <w:szCs w:val="24"/>
        </w:rPr>
        <w:t>, 2009).</w:t>
      </w:r>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5C"/>
    <w:rsid w:val="007B2DA8"/>
    <w:rsid w:val="00DA3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402FC-43EB-4B32-9304-058F5783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2018-12-20T13:05:00Z</dcterms:created>
  <dcterms:modified xsi:type="dcterms:W3CDTF">2018-12-20T13:06:00Z</dcterms:modified>
</cp:coreProperties>
</file>