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54E7" w:rsidRPr="009860ED" w:rsidRDefault="009854E7" w:rsidP="009854E7">
      <w:pPr>
        <w:pStyle w:val="ListeParagraf"/>
        <w:spacing w:after="0" w:line="360" w:lineRule="auto"/>
        <w:ind w:left="928"/>
        <w:jc w:val="both"/>
        <w:rPr>
          <w:rFonts w:ascii="Times New Roman" w:eastAsia="Times New Roman" w:hAnsi="Times New Roman" w:cs="Times New Roman"/>
          <w:sz w:val="24"/>
          <w:szCs w:val="24"/>
          <w:lang w:eastAsia="tr-TR"/>
        </w:rPr>
      </w:pPr>
      <w:r w:rsidRPr="009860ED">
        <w:rPr>
          <w:rFonts w:ascii="Times New Roman" w:eastAsia="Times New Roman" w:hAnsi="Times New Roman" w:cs="Times New Roman"/>
          <w:sz w:val="24"/>
          <w:szCs w:val="24"/>
          <w:lang w:eastAsia="tr-TR"/>
        </w:rPr>
        <w:t>NİCEL VE NİTEL ARAŞTIRMA YÖNTEMLERİ</w:t>
      </w:r>
    </w:p>
    <w:p w:rsidR="009854E7" w:rsidRPr="009860ED" w:rsidRDefault="009854E7" w:rsidP="009854E7">
      <w:pPr>
        <w:pStyle w:val="ListeParagraf"/>
        <w:spacing w:after="0" w:line="360" w:lineRule="auto"/>
        <w:ind w:left="928"/>
        <w:jc w:val="both"/>
        <w:rPr>
          <w:rFonts w:ascii="Times New Roman" w:eastAsia="Times New Roman" w:hAnsi="Times New Roman" w:cs="Times New Roman"/>
          <w:sz w:val="24"/>
          <w:szCs w:val="24"/>
          <w:lang w:eastAsia="tr-TR"/>
        </w:rPr>
      </w:pPr>
    </w:p>
    <w:p w:rsidR="009854E7" w:rsidRPr="009860ED" w:rsidRDefault="009854E7" w:rsidP="009854E7">
      <w:pPr>
        <w:pStyle w:val="ListeParagraf"/>
        <w:spacing w:after="0" w:line="360" w:lineRule="auto"/>
        <w:ind w:left="928"/>
        <w:jc w:val="both"/>
        <w:rPr>
          <w:rFonts w:ascii="Times New Roman" w:eastAsia="Times New Roman" w:hAnsi="Times New Roman" w:cs="Times New Roman"/>
          <w:sz w:val="24"/>
          <w:szCs w:val="24"/>
          <w:lang w:eastAsia="tr-TR"/>
        </w:rPr>
      </w:pPr>
      <w:r w:rsidRPr="009860ED">
        <w:rPr>
          <w:rFonts w:ascii="Times New Roman" w:eastAsia="Times New Roman" w:hAnsi="Times New Roman" w:cs="Times New Roman"/>
          <w:sz w:val="24"/>
          <w:szCs w:val="24"/>
          <w:lang w:eastAsia="tr-TR"/>
        </w:rPr>
        <w:t>Sosyolojik araştırmalarda, genel kabul gören formlara karşın, kullanılan farklı yöntemler de bulunmaktadır. Bu anlamda, sosyolojinin içerisinde yer alan iki araştırma geleneğini tanımlamak mümkündür. Bu geleneklerden birincisini takip eden grup, genellikle nicel yöntemlerin diğer bir deyişle, sayısal, istatistiksel yöntemlerin kullanımını benimsemekteyken diğer bir grup ise nitel yöntemlerin kullanımını desteklemektedir. Nicel ve nitel araştırma yöntemleri birçok yönden birbirinden farklılaşmakta fakat aynı zamanda da birbirini tamamlamaktadır. Çünkü bütün toplumsal araştırmacılar, toplumsal ilişkileri ve yaşamı anlama ve açıklama amacı taşımaktadır. Nicel ve nitel araştırma yöntemleri arasındaki farklardan biri verilerin doğasından kaynaklanmakta diğeri ise toplumsal yaşam hakkında farklı varsayım ve amaçlara sahip olmalarına dayanmaktadır (</w:t>
      </w:r>
      <w:proofErr w:type="spellStart"/>
      <w:r w:rsidRPr="009860ED">
        <w:rPr>
          <w:rFonts w:ascii="Times New Roman" w:eastAsia="Times New Roman" w:hAnsi="Times New Roman" w:cs="Times New Roman"/>
          <w:sz w:val="24"/>
          <w:szCs w:val="24"/>
          <w:lang w:eastAsia="tr-TR"/>
        </w:rPr>
        <w:t>Haralambos</w:t>
      </w:r>
      <w:proofErr w:type="spellEnd"/>
      <w:r w:rsidRPr="009860ED">
        <w:rPr>
          <w:rFonts w:ascii="Times New Roman" w:eastAsia="Times New Roman" w:hAnsi="Times New Roman" w:cs="Times New Roman"/>
          <w:sz w:val="24"/>
          <w:szCs w:val="24"/>
          <w:lang w:eastAsia="tr-TR"/>
        </w:rPr>
        <w:t xml:space="preserve"> ve </w:t>
      </w:r>
      <w:proofErr w:type="spellStart"/>
      <w:r w:rsidRPr="009860ED">
        <w:rPr>
          <w:rFonts w:ascii="Times New Roman" w:eastAsia="Times New Roman" w:hAnsi="Times New Roman" w:cs="Times New Roman"/>
          <w:sz w:val="24"/>
          <w:szCs w:val="24"/>
          <w:lang w:eastAsia="tr-TR"/>
        </w:rPr>
        <w:t>Holborn</w:t>
      </w:r>
      <w:proofErr w:type="spellEnd"/>
      <w:r w:rsidRPr="009860ED">
        <w:rPr>
          <w:rFonts w:ascii="Times New Roman" w:eastAsia="Times New Roman" w:hAnsi="Times New Roman" w:cs="Times New Roman"/>
          <w:sz w:val="24"/>
          <w:szCs w:val="24"/>
          <w:lang w:eastAsia="tr-TR"/>
        </w:rPr>
        <w:t xml:space="preserve">, 1995:808 ve </w:t>
      </w:r>
      <w:proofErr w:type="spellStart"/>
      <w:r w:rsidRPr="009860ED">
        <w:rPr>
          <w:rFonts w:ascii="Times New Roman" w:eastAsia="Times New Roman" w:hAnsi="Times New Roman" w:cs="Times New Roman"/>
          <w:sz w:val="24"/>
          <w:szCs w:val="24"/>
          <w:lang w:eastAsia="tr-TR"/>
        </w:rPr>
        <w:t>Neuman</w:t>
      </w:r>
      <w:proofErr w:type="spellEnd"/>
      <w:r w:rsidRPr="009860ED">
        <w:rPr>
          <w:rFonts w:ascii="Times New Roman" w:eastAsia="Times New Roman" w:hAnsi="Times New Roman" w:cs="Times New Roman"/>
          <w:sz w:val="24"/>
          <w:szCs w:val="24"/>
          <w:lang w:eastAsia="tr-TR"/>
        </w:rPr>
        <w:t>, 2007: 223-224’den aktaran Turhanoğlu, 2012:25-26).</w:t>
      </w:r>
    </w:p>
    <w:p w:rsidR="009854E7" w:rsidRPr="009860ED" w:rsidRDefault="009854E7" w:rsidP="009854E7">
      <w:pPr>
        <w:pStyle w:val="ListeParagraf"/>
        <w:spacing w:after="0" w:line="360" w:lineRule="auto"/>
        <w:ind w:left="928"/>
        <w:jc w:val="both"/>
        <w:rPr>
          <w:rFonts w:ascii="Times New Roman" w:eastAsia="Times New Roman" w:hAnsi="Times New Roman" w:cs="Times New Roman"/>
          <w:sz w:val="24"/>
          <w:szCs w:val="24"/>
          <w:lang w:eastAsia="tr-TR"/>
        </w:rPr>
      </w:pPr>
      <w:r w:rsidRPr="009860ED">
        <w:rPr>
          <w:rFonts w:ascii="Times New Roman" w:eastAsia="Times New Roman" w:hAnsi="Times New Roman" w:cs="Times New Roman"/>
          <w:sz w:val="24"/>
          <w:szCs w:val="24"/>
          <w:lang w:eastAsia="tr-TR"/>
        </w:rPr>
        <w:t xml:space="preserve">Daha önce belirtildiği üzere, doğa bilimleri yöntemini uyarlamaya çalışan sosyologlar, nicel yöntemlerin kullanımını savunma eğiliminde olmuştur. Sosyolojide bu yöntemin kullanılması pozitivizm olarak bilinmektedir. Nitel yöntemi benimseyen araştırmacılar ise nicel yöntemin, verilerin toplanması, analiz edilmesi ve açıklanmasında yetersiz olduğunu ve bu nedenle tamamen insan davranışıyla ilgili konulara uygun olmadığını ileri sürmüştür. Nicel yöntemi kullanan araştırmacılar, değişkenlerin kesin olarak ölçülmesine ve genel </w:t>
      </w:r>
      <w:proofErr w:type="spellStart"/>
      <w:r w:rsidRPr="009860ED">
        <w:rPr>
          <w:rFonts w:ascii="Times New Roman" w:eastAsia="Times New Roman" w:hAnsi="Times New Roman" w:cs="Times New Roman"/>
          <w:sz w:val="24"/>
          <w:szCs w:val="24"/>
          <w:lang w:eastAsia="tr-TR"/>
        </w:rPr>
        <w:t>nedensel</w:t>
      </w:r>
      <w:proofErr w:type="spellEnd"/>
      <w:r w:rsidRPr="009860ED">
        <w:rPr>
          <w:rFonts w:ascii="Times New Roman" w:eastAsia="Times New Roman" w:hAnsi="Times New Roman" w:cs="Times New Roman"/>
          <w:sz w:val="24"/>
          <w:szCs w:val="24"/>
          <w:lang w:eastAsia="tr-TR"/>
        </w:rPr>
        <w:t xml:space="preserve"> açıklamalara bağlı olan hipotezlerin test edilmesine vurgu yapmaktadır. Nitel araştırmacılar ise toplumsal yaşamın doğal akışında ortaya çıkan olayların ayrıntılı bir şekilde incelenmesi üzerinde durmakta ve belirli toplumsal, tarihsel bağlamları dikkate alan yorumlar sunmaya çalışmaktadır.</w:t>
      </w:r>
    </w:p>
    <w:p w:rsidR="009854E7" w:rsidRDefault="009854E7" w:rsidP="009854E7">
      <w:pPr>
        <w:pStyle w:val="ListeParagraf"/>
        <w:spacing w:after="0" w:line="360" w:lineRule="auto"/>
        <w:ind w:left="928"/>
        <w:jc w:val="both"/>
        <w:rPr>
          <w:rFonts w:ascii="Times New Roman" w:eastAsia="Times New Roman" w:hAnsi="Times New Roman" w:cs="Times New Roman"/>
          <w:sz w:val="24"/>
          <w:szCs w:val="24"/>
          <w:lang w:eastAsia="tr-TR"/>
        </w:rPr>
      </w:pPr>
      <w:r w:rsidRPr="009860ED">
        <w:rPr>
          <w:rFonts w:ascii="Times New Roman" w:eastAsia="Times New Roman" w:hAnsi="Times New Roman" w:cs="Times New Roman"/>
          <w:sz w:val="24"/>
          <w:szCs w:val="24"/>
          <w:lang w:eastAsia="tr-TR"/>
        </w:rPr>
        <w:t xml:space="preserve">Sayısal formdaki nicel veriler örneğin suç; intihar ve boşanma oranları gibi resmi istatistikler olarak görülmektedir. Nitel veriler ise genellikle kelimeler aracılığıyla ifade edilmektedir. Bu tür veriler örneğin yoksulluk konusuyla ilgili bir çalışmada, yoksulluk içinde yaşayan bir grup insanın, yaşam biçimlerinin derinlemesine incelenmesi olabilmektedir. Nicel verilerle karşılaştırıldığında nitel veriler genellikle daha zengin, daha derin, daha canlı yaşam tarzının ya da insanların deneyimlerinin, tutumlarının ve inançlarının kapsamlı bir resminin sunumunu sağlamaya daha yakın görünmektedir. Sosyolojik araştırmayla ilgilenenler için nicel ve nitel araştırma yöntemleri arasındaki ayrım gittikçe önemsiz hâle gelmekte ve birçok sosyolog, veri </w:t>
      </w:r>
      <w:r w:rsidRPr="009860ED">
        <w:rPr>
          <w:rFonts w:ascii="Times New Roman" w:eastAsia="Times New Roman" w:hAnsi="Times New Roman" w:cs="Times New Roman"/>
          <w:sz w:val="24"/>
          <w:szCs w:val="24"/>
          <w:lang w:eastAsia="tr-TR"/>
        </w:rPr>
        <w:lastRenderedPageBreak/>
        <w:t>toplama ve sosyal davranışı açıklamada nicel ve nitel araştırma yöntemlerini bir arada kullanmaktadır. Her iki araştırma yöntemi de toplumsal ilişkileri ve yaşamı anlama ve açıklama amacına yönelik olarak önemli katkılar sağlamaktadır (</w:t>
      </w:r>
      <w:proofErr w:type="spellStart"/>
      <w:r w:rsidRPr="009860ED">
        <w:rPr>
          <w:rFonts w:ascii="Times New Roman" w:eastAsia="Times New Roman" w:hAnsi="Times New Roman" w:cs="Times New Roman"/>
          <w:sz w:val="24"/>
          <w:szCs w:val="24"/>
          <w:lang w:eastAsia="tr-TR"/>
        </w:rPr>
        <w:t>Haralambos</w:t>
      </w:r>
      <w:proofErr w:type="spellEnd"/>
      <w:r w:rsidRPr="009860ED">
        <w:rPr>
          <w:rFonts w:ascii="Times New Roman" w:eastAsia="Times New Roman" w:hAnsi="Times New Roman" w:cs="Times New Roman"/>
          <w:sz w:val="24"/>
          <w:szCs w:val="24"/>
          <w:lang w:eastAsia="tr-TR"/>
        </w:rPr>
        <w:t xml:space="preserve"> ve </w:t>
      </w:r>
      <w:proofErr w:type="spellStart"/>
      <w:r w:rsidRPr="009860ED">
        <w:rPr>
          <w:rFonts w:ascii="Times New Roman" w:eastAsia="Times New Roman" w:hAnsi="Times New Roman" w:cs="Times New Roman"/>
          <w:sz w:val="24"/>
          <w:szCs w:val="24"/>
          <w:lang w:eastAsia="tr-TR"/>
        </w:rPr>
        <w:t>Holborn</w:t>
      </w:r>
      <w:proofErr w:type="spellEnd"/>
      <w:r w:rsidRPr="009860ED">
        <w:rPr>
          <w:rFonts w:ascii="Times New Roman" w:eastAsia="Times New Roman" w:hAnsi="Times New Roman" w:cs="Times New Roman"/>
          <w:sz w:val="24"/>
          <w:szCs w:val="24"/>
          <w:lang w:eastAsia="tr-TR"/>
        </w:rPr>
        <w:t xml:space="preserve">, 1995:808,814; </w:t>
      </w:r>
      <w:proofErr w:type="spellStart"/>
      <w:r w:rsidRPr="009860ED">
        <w:rPr>
          <w:rFonts w:ascii="Times New Roman" w:eastAsia="Times New Roman" w:hAnsi="Times New Roman" w:cs="Times New Roman"/>
          <w:sz w:val="24"/>
          <w:szCs w:val="24"/>
          <w:lang w:eastAsia="tr-TR"/>
        </w:rPr>
        <w:t>Bilton</w:t>
      </w:r>
      <w:proofErr w:type="spellEnd"/>
      <w:r w:rsidRPr="009860ED">
        <w:rPr>
          <w:rFonts w:ascii="Times New Roman" w:eastAsia="Times New Roman" w:hAnsi="Times New Roman" w:cs="Times New Roman"/>
          <w:sz w:val="24"/>
          <w:szCs w:val="24"/>
          <w:lang w:eastAsia="tr-TR"/>
        </w:rPr>
        <w:t xml:space="preserve"> vd</w:t>
      </w:r>
      <w:proofErr w:type="gramStart"/>
      <w:r w:rsidRPr="009860ED">
        <w:rPr>
          <w:rFonts w:ascii="Times New Roman" w:eastAsia="Times New Roman" w:hAnsi="Times New Roman" w:cs="Times New Roman"/>
          <w:sz w:val="24"/>
          <w:szCs w:val="24"/>
          <w:lang w:eastAsia="tr-TR"/>
        </w:rPr>
        <w:t>.,</w:t>
      </w:r>
      <w:proofErr w:type="gramEnd"/>
      <w:r w:rsidRPr="009860ED">
        <w:rPr>
          <w:rFonts w:ascii="Times New Roman" w:eastAsia="Times New Roman" w:hAnsi="Times New Roman" w:cs="Times New Roman"/>
          <w:sz w:val="24"/>
          <w:szCs w:val="24"/>
          <w:lang w:eastAsia="tr-TR"/>
        </w:rPr>
        <w:t xml:space="preserve"> 2008: 447; </w:t>
      </w:r>
      <w:proofErr w:type="spellStart"/>
      <w:r w:rsidRPr="009860ED">
        <w:rPr>
          <w:rFonts w:ascii="Times New Roman" w:eastAsia="Times New Roman" w:hAnsi="Times New Roman" w:cs="Times New Roman"/>
          <w:sz w:val="24"/>
          <w:szCs w:val="24"/>
          <w:lang w:eastAsia="tr-TR"/>
        </w:rPr>
        <w:t>Neuman</w:t>
      </w:r>
      <w:proofErr w:type="spellEnd"/>
      <w:r w:rsidRPr="009860ED">
        <w:rPr>
          <w:rFonts w:ascii="Times New Roman" w:eastAsia="Times New Roman" w:hAnsi="Times New Roman" w:cs="Times New Roman"/>
          <w:sz w:val="24"/>
          <w:szCs w:val="24"/>
          <w:lang w:eastAsia="tr-TR"/>
        </w:rPr>
        <w:t>, 2007:224’den aktaran Turhanoğlu, 2012:25-26). Sosyologlar ele aldıkları konuları, daha belirgin bir hale gelen araştırma sorusu olarak sınırlamaktadırlar. Araştırma biçimleri, araştırmanın ne zaman ve nasıl odaklanacağı sorularına farklı yanıtlar sunmaktadır. Toplumsal araştırmacıların kullandığı yöntem, “seçtiği konuya, araştırmacının amacına ve çalışma sonuçlarının hedeflenen kullanımına, sosyal bilime yönelik benimsediği yönelime ve tekil araştırmacının kendi varsayımlarına ve inançlarına” bağlı olarak çeşitlilik gösterebilmektedir. Toplumsal bir araştırmada hangi yöntemin seçileceği, araştırmacının kuramsal bakış açısı, araştırmanın problemi, amacı ve araştırmada kullanılabilecek kaynaklara bağlıdır.</w:t>
      </w:r>
    </w:p>
    <w:p w:rsidR="00B65799" w:rsidRDefault="00B65799">
      <w:bookmarkStart w:id="0" w:name="_GoBack"/>
      <w:bookmarkEnd w:id="0"/>
    </w:p>
    <w:sectPr w:rsidR="00B657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3" w:usb2="00000009" w:usb3="00000000" w:csb0="000001FF" w:csb1="00000000"/>
  </w:font>
  <w:font w:name="Calibri Light">
    <w:panose1 w:val="020F0302020204030204"/>
    <w:charset w:val="A2"/>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4E7"/>
    <w:rsid w:val="009854E7"/>
    <w:rsid w:val="00B6579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2B44DA-1D78-4256-B70A-AD43A55553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9854E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535</Words>
  <Characters>3051</Characters>
  <Application>Microsoft Office Word</Application>
  <DocSecurity>0</DocSecurity>
  <Lines>25</Lines>
  <Paragraphs>7</Paragraphs>
  <ScaleCrop>false</ScaleCrop>
  <Company/>
  <LinksUpToDate>false</LinksUpToDate>
  <CharactersWithSpaces>3579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2018-12-20T13:14:00Z</dcterms:created>
  <dcterms:modified xsi:type="dcterms:W3CDTF">2018-12-20T13:14:00Z</dcterms:modified>
</cp:coreProperties>
</file>