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E7" w:rsidRPr="009860ED" w:rsidRDefault="009854E7" w:rsidP="009854E7">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NİCEL VE NİTEL ARAŞTIRMA YÖNTEMLERİ</w:t>
      </w:r>
    </w:p>
    <w:p w:rsidR="009854E7" w:rsidRPr="009860ED" w:rsidRDefault="009854E7" w:rsidP="009854E7">
      <w:pPr>
        <w:pStyle w:val="ListeParagraf"/>
        <w:spacing w:after="0" w:line="360" w:lineRule="auto"/>
        <w:ind w:left="928"/>
        <w:jc w:val="both"/>
        <w:rPr>
          <w:rFonts w:ascii="Times New Roman" w:eastAsia="Times New Roman" w:hAnsi="Times New Roman" w:cs="Times New Roman"/>
          <w:sz w:val="24"/>
          <w:szCs w:val="24"/>
          <w:lang w:eastAsia="tr-TR"/>
        </w:rPr>
      </w:pPr>
    </w:p>
    <w:p w:rsidR="009854E7" w:rsidRPr="009860ED" w:rsidRDefault="009854E7" w:rsidP="009854E7">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Sosyolojik araştırmalarda, genel kabul gören formlara karşın, kullanılan farklı yöntemler de bulunmaktadır. Bu anlamda, sosyolojinin içerisinde yer alan iki araştırma geleneğini tanımlamak mümkündür. Bu geleneklerden birincisini takip eden grup, genellikle nicel yöntemlerin diğer bir deyişle, sayısal, istatistiksel yöntemlerin kullanımını benimsemekteyken diğer bir grup ise nitel yöntemlerin kullanımını desteklemektedir. Nicel ve nitel araştırma yöntemleri birçok yönden birbirinden farklılaşmakta fakat aynı zamanda da birbirini tamamlamaktadır. Çünkü bütün toplumsal araştırmacılar, toplumsal ilişkileri ve yaşamı anlama ve açıklama amacı taşımaktadır. Nicel ve nitel araştırma yöntemleri arasındaki farklardan biri verilerin doğasından kaynaklanmakta diğeri ise toplumsal yaşam hakkında farklı varsayım ve amaçlara sahip olmalarına dayanmaktadır (</w:t>
      </w:r>
      <w:proofErr w:type="spellStart"/>
      <w:r w:rsidRPr="009860ED">
        <w:rPr>
          <w:rFonts w:ascii="Times New Roman" w:eastAsia="Times New Roman" w:hAnsi="Times New Roman" w:cs="Times New Roman"/>
          <w:sz w:val="24"/>
          <w:szCs w:val="24"/>
          <w:lang w:eastAsia="tr-TR"/>
        </w:rPr>
        <w:t>Haralambos</w:t>
      </w:r>
      <w:proofErr w:type="spellEnd"/>
      <w:r w:rsidRPr="009860ED">
        <w:rPr>
          <w:rFonts w:ascii="Times New Roman" w:eastAsia="Times New Roman" w:hAnsi="Times New Roman" w:cs="Times New Roman"/>
          <w:sz w:val="24"/>
          <w:szCs w:val="24"/>
          <w:lang w:eastAsia="tr-TR"/>
        </w:rPr>
        <w:t xml:space="preserve"> ve </w:t>
      </w:r>
      <w:proofErr w:type="spellStart"/>
      <w:r w:rsidRPr="009860ED">
        <w:rPr>
          <w:rFonts w:ascii="Times New Roman" w:eastAsia="Times New Roman" w:hAnsi="Times New Roman" w:cs="Times New Roman"/>
          <w:sz w:val="24"/>
          <w:szCs w:val="24"/>
          <w:lang w:eastAsia="tr-TR"/>
        </w:rPr>
        <w:t>Holborn</w:t>
      </w:r>
      <w:proofErr w:type="spellEnd"/>
      <w:r w:rsidRPr="009860ED">
        <w:rPr>
          <w:rFonts w:ascii="Times New Roman" w:eastAsia="Times New Roman" w:hAnsi="Times New Roman" w:cs="Times New Roman"/>
          <w:sz w:val="24"/>
          <w:szCs w:val="24"/>
          <w:lang w:eastAsia="tr-TR"/>
        </w:rPr>
        <w:t xml:space="preserve">, 1995:808 ve </w:t>
      </w:r>
      <w:proofErr w:type="spellStart"/>
      <w:r w:rsidRPr="009860ED">
        <w:rPr>
          <w:rFonts w:ascii="Times New Roman" w:eastAsia="Times New Roman" w:hAnsi="Times New Roman" w:cs="Times New Roman"/>
          <w:sz w:val="24"/>
          <w:szCs w:val="24"/>
          <w:lang w:eastAsia="tr-TR"/>
        </w:rPr>
        <w:t>Neuman</w:t>
      </w:r>
      <w:proofErr w:type="spellEnd"/>
      <w:r w:rsidRPr="009860ED">
        <w:rPr>
          <w:rFonts w:ascii="Times New Roman" w:eastAsia="Times New Roman" w:hAnsi="Times New Roman" w:cs="Times New Roman"/>
          <w:sz w:val="24"/>
          <w:szCs w:val="24"/>
          <w:lang w:eastAsia="tr-TR"/>
        </w:rPr>
        <w:t>, 2007: 223-224’den aktaran Turhanoğlu, 2012:25-26).</w:t>
      </w:r>
    </w:p>
    <w:p w:rsidR="009854E7" w:rsidRPr="009860ED" w:rsidRDefault="009854E7" w:rsidP="009854E7">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Daha önce belirtildiği üzere, doğa bilimleri yöntemini uyarlamaya çalışan sosyologlar, nicel yöntemlerin kullanımını savunma eğiliminde olmuştur. Sosyolojide bu yöntemin kullanılması pozitivizm olarak bilinmektedir. Nitel yöntemi benimseyen araştırmacılar ise nicel yöntemin, verilerin toplanması, analiz edilmesi ve açıklanmasında yetersiz olduğunu ve bu nedenle tamamen insan davranışıyla ilgili konulara uygun olmadığını ileri sürmüştür. Nicel yöntemi kullanan araştırmacılar, değişkenlerin kesin olarak ölçülmesine ve genel </w:t>
      </w:r>
      <w:proofErr w:type="spellStart"/>
      <w:r w:rsidRPr="009860ED">
        <w:rPr>
          <w:rFonts w:ascii="Times New Roman" w:eastAsia="Times New Roman" w:hAnsi="Times New Roman" w:cs="Times New Roman"/>
          <w:sz w:val="24"/>
          <w:szCs w:val="24"/>
          <w:lang w:eastAsia="tr-TR"/>
        </w:rPr>
        <w:t>nedensel</w:t>
      </w:r>
      <w:proofErr w:type="spellEnd"/>
      <w:r w:rsidRPr="009860ED">
        <w:rPr>
          <w:rFonts w:ascii="Times New Roman" w:eastAsia="Times New Roman" w:hAnsi="Times New Roman" w:cs="Times New Roman"/>
          <w:sz w:val="24"/>
          <w:szCs w:val="24"/>
          <w:lang w:eastAsia="tr-TR"/>
        </w:rPr>
        <w:t xml:space="preserve"> açıklamalara bağlı olan hipotezlerin test edilmesine vurgu yapmaktadır. Nitel araştırmacılar ise toplumsal yaşamın doğal akışında ortaya çıkan olayların ayrıntılı bir şekilde incelenmesi üzerinde durmakta ve belirli toplumsal, tarihsel bağlamları dikkate alan yorumlar sunmaya çalışmaktadır.</w:t>
      </w:r>
    </w:p>
    <w:p w:rsidR="009854E7" w:rsidRDefault="009854E7" w:rsidP="009854E7">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Sayısal formdaki nicel veriler örneğin suç; intihar ve boşanma oranları gibi resmi istatistikler olarak görülmektedir. Nitel veriler ise genellikle kelimeler aracılığıyla ifade edilmektedir. Bu tür veriler örneğin yoksulluk konusuyla ilgili bir çalışmada, yoksulluk içinde yaşayan bir grup insanın, yaşam biçimlerinin derinlemesine incelenmesi olabilmektedir. Nicel verilerle karşılaştırıldığında nitel veriler genellikle daha zengin, daha derin, daha canlı yaşam tarzının ya da insanların deneyimlerinin, tutumlarının ve inançlarının kapsamlı bir resminin sunumunu sağlamaya daha yakın görünmektedir. Sosyolojik araştırmayla ilgilenenler için nicel ve nitel araştırma yöntemleri arasındaki ayrım gittikçe önemsiz hâle gelmekte ve birçok sosyolog, veri </w:t>
      </w:r>
      <w:r w:rsidRPr="009860ED">
        <w:rPr>
          <w:rFonts w:ascii="Times New Roman" w:eastAsia="Times New Roman" w:hAnsi="Times New Roman" w:cs="Times New Roman"/>
          <w:sz w:val="24"/>
          <w:szCs w:val="24"/>
          <w:lang w:eastAsia="tr-TR"/>
        </w:rPr>
        <w:lastRenderedPageBreak/>
        <w:t>toplama ve sosyal davranışı açıklamada nicel ve nitel araştırma yöntemlerini bir arada kullanmaktadır. Her iki araştırma yöntemi de toplumsal ilişkileri ve yaşamı anlama ve açıklama amacına yönelik olarak önemli katkılar sağlamaktadır (</w:t>
      </w:r>
      <w:proofErr w:type="spellStart"/>
      <w:r w:rsidRPr="009860ED">
        <w:rPr>
          <w:rFonts w:ascii="Times New Roman" w:eastAsia="Times New Roman" w:hAnsi="Times New Roman" w:cs="Times New Roman"/>
          <w:sz w:val="24"/>
          <w:szCs w:val="24"/>
          <w:lang w:eastAsia="tr-TR"/>
        </w:rPr>
        <w:t>Haralambos</w:t>
      </w:r>
      <w:proofErr w:type="spellEnd"/>
      <w:r w:rsidRPr="009860ED">
        <w:rPr>
          <w:rFonts w:ascii="Times New Roman" w:eastAsia="Times New Roman" w:hAnsi="Times New Roman" w:cs="Times New Roman"/>
          <w:sz w:val="24"/>
          <w:szCs w:val="24"/>
          <w:lang w:eastAsia="tr-TR"/>
        </w:rPr>
        <w:t xml:space="preserve"> ve </w:t>
      </w:r>
      <w:proofErr w:type="spellStart"/>
      <w:r w:rsidRPr="009860ED">
        <w:rPr>
          <w:rFonts w:ascii="Times New Roman" w:eastAsia="Times New Roman" w:hAnsi="Times New Roman" w:cs="Times New Roman"/>
          <w:sz w:val="24"/>
          <w:szCs w:val="24"/>
          <w:lang w:eastAsia="tr-TR"/>
        </w:rPr>
        <w:t>Holborn</w:t>
      </w:r>
      <w:proofErr w:type="spellEnd"/>
      <w:r w:rsidRPr="009860ED">
        <w:rPr>
          <w:rFonts w:ascii="Times New Roman" w:eastAsia="Times New Roman" w:hAnsi="Times New Roman" w:cs="Times New Roman"/>
          <w:sz w:val="24"/>
          <w:szCs w:val="24"/>
          <w:lang w:eastAsia="tr-TR"/>
        </w:rPr>
        <w:t xml:space="preserve">, 1995:808,814; </w:t>
      </w:r>
      <w:proofErr w:type="spellStart"/>
      <w:r w:rsidRPr="009860ED">
        <w:rPr>
          <w:rFonts w:ascii="Times New Roman" w:eastAsia="Times New Roman" w:hAnsi="Times New Roman" w:cs="Times New Roman"/>
          <w:sz w:val="24"/>
          <w:szCs w:val="24"/>
          <w:lang w:eastAsia="tr-TR"/>
        </w:rPr>
        <w:t>Bilton</w:t>
      </w:r>
      <w:proofErr w:type="spellEnd"/>
      <w:r w:rsidRPr="009860ED">
        <w:rPr>
          <w:rFonts w:ascii="Times New Roman" w:eastAsia="Times New Roman" w:hAnsi="Times New Roman" w:cs="Times New Roman"/>
          <w:sz w:val="24"/>
          <w:szCs w:val="24"/>
          <w:lang w:eastAsia="tr-TR"/>
        </w:rPr>
        <w:t xml:space="preserve"> vd</w:t>
      </w:r>
      <w:proofErr w:type="gramStart"/>
      <w:r w:rsidRPr="009860ED">
        <w:rPr>
          <w:rFonts w:ascii="Times New Roman" w:eastAsia="Times New Roman" w:hAnsi="Times New Roman" w:cs="Times New Roman"/>
          <w:sz w:val="24"/>
          <w:szCs w:val="24"/>
          <w:lang w:eastAsia="tr-TR"/>
        </w:rPr>
        <w:t>.,</w:t>
      </w:r>
      <w:proofErr w:type="gramEnd"/>
      <w:r w:rsidRPr="009860ED">
        <w:rPr>
          <w:rFonts w:ascii="Times New Roman" w:eastAsia="Times New Roman" w:hAnsi="Times New Roman" w:cs="Times New Roman"/>
          <w:sz w:val="24"/>
          <w:szCs w:val="24"/>
          <w:lang w:eastAsia="tr-TR"/>
        </w:rPr>
        <w:t xml:space="preserve"> 2008: 447; </w:t>
      </w:r>
      <w:proofErr w:type="spellStart"/>
      <w:r w:rsidRPr="009860ED">
        <w:rPr>
          <w:rFonts w:ascii="Times New Roman" w:eastAsia="Times New Roman" w:hAnsi="Times New Roman" w:cs="Times New Roman"/>
          <w:sz w:val="24"/>
          <w:szCs w:val="24"/>
          <w:lang w:eastAsia="tr-TR"/>
        </w:rPr>
        <w:t>Neuman</w:t>
      </w:r>
      <w:proofErr w:type="spellEnd"/>
      <w:r w:rsidRPr="009860ED">
        <w:rPr>
          <w:rFonts w:ascii="Times New Roman" w:eastAsia="Times New Roman" w:hAnsi="Times New Roman" w:cs="Times New Roman"/>
          <w:sz w:val="24"/>
          <w:szCs w:val="24"/>
          <w:lang w:eastAsia="tr-TR"/>
        </w:rPr>
        <w:t>, 2007:224’den aktaran Turhanoğlu, 2012:25-26). Sosyologlar ele aldıkları konuları, daha belirgin bir hale gelen araştırma sorusu olarak sınırlamaktadırlar. Araştırma biçimleri, araştırmanın ne zaman ve nasıl odaklanacağı sorularına farklı yanıtlar sunmaktadır. Toplumsal araştırmacıların kullandığı yöntem, “seçtiği konuya, araştırmacının amacına ve çalışma sonuçlarının hedeflenen kullanımına, sosyal bilime yönelik benimsediği yönelime ve tekil araştırmacının kendi varsayımlarına ve inançlarına” bağlı olarak çeşitlilik gösterebilmektedir. Toplumsal bir araştırmada hangi yöntemin seçileceği, araştırmacının kuramsal bakış açısı, araştırmanın problemi, amacı ve araştırmada kullanılabilecek kaynaklara bağlıdır.</w:t>
      </w:r>
    </w:p>
    <w:p w:rsidR="00B65799" w:rsidRDefault="00B65799">
      <w:bookmarkStart w:id="0" w:name="_GoBack"/>
      <w:bookmarkEnd w:id="0"/>
    </w:p>
    <w:sectPr w:rsidR="00B6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E7"/>
    <w:rsid w:val="009854E7"/>
    <w:rsid w:val="00B65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B44DA-1D78-4256-B70A-AD43A555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2018-12-20T13:14:00Z</dcterms:created>
  <dcterms:modified xsi:type="dcterms:W3CDTF">2018-12-20T13:14:00Z</dcterms:modified>
</cp:coreProperties>
</file>