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477" w:rsidRPr="00620BDA" w:rsidRDefault="00692477" w:rsidP="00692477">
      <w:pPr>
        <w:ind w:firstLine="708"/>
        <w:jc w:val="both"/>
        <w:rPr>
          <w:rFonts w:ascii="Times New Roman" w:hAnsi="Times New Roman" w:cs="Times New Roman"/>
          <w:b/>
        </w:rPr>
      </w:pPr>
      <w:r w:rsidRPr="00620BDA">
        <w:rPr>
          <w:rFonts w:ascii="Times New Roman" w:hAnsi="Times New Roman" w:cs="Times New Roman"/>
          <w:b/>
        </w:rPr>
        <w:t xml:space="preserve">F.Chopin Etüt </w:t>
      </w:r>
      <w:proofErr w:type="spellStart"/>
      <w:r w:rsidRPr="00620BDA">
        <w:rPr>
          <w:rFonts w:ascii="Times New Roman" w:hAnsi="Times New Roman" w:cs="Times New Roman"/>
          <w:b/>
        </w:rPr>
        <w:t>cis</w:t>
      </w:r>
      <w:proofErr w:type="spellEnd"/>
      <w:r w:rsidRPr="00620BDA">
        <w:rPr>
          <w:rFonts w:ascii="Times New Roman" w:hAnsi="Times New Roman" w:cs="Times New Roman"/>
          <w:b/>
        </w:rPr>
        <w:t xml:space="preserve"> </w:t>
      </w:r>
      <w:proofErr w:type="spellStart"/>
      <w:r w:rsidRPr="00620BDA">
        <w:rPr>
          <w:rFonts w:ascii="Times New Roman" w:hAnsi="Times New Roman" w:cs="Times New Roman"/>
          <w:b/>
        </w:rPr>
        <w:t>moll</w:t>
      </w:r>
      <w:proofErr w:type="spellEnd"/>
      <w:r w:rsidRPr="00620BDA">
        <w:rPr>
          <w:rFonts w:ascii="Times New Roman" w:hAnsi="Times New Roman" w:cs="Times New Roman"/>
          <w:b/>
        </w:rPr>
        <w:t xml:space="preserve"> op.10.no.4</w:t>
      </w:r>
    </w:p>
    <w:p w:rsidR="00692477" w:rsidRPr="00620BDA" w:rsidRDefault="00692477" w:rsidP="00692477">
      <w:pPr>
        <w:ind w:firstLine="708"/>
        <w:jc w:val="both"/>
        <w:rPr>
          <w:rFonts w:ascii="Times New Roman" w:hAnsi="Times New Roman" w:cs="Times New Roman"/>
        </w:rPr>
      </w:pPr>
      <w:r w:rsidRPr="00620BDA">
        <w:rPr>
          <w:rFonts w:ascii="Times New Roman" w:hAnsi="Times New Roman" w:cs="Times New Roman"/>
        </w:rPr>
        <w:t>Chopin etütlerinin içeriği yoğun düşünce ve duygu, o dönemin yeni ifade icracılığı araçları ile donanmıştır.</w:t>
      </w:r>
    </w:p>
    <w:p w:rsidR="00692477" w:rsidRPr="00620BDA" w:rsidRDefault="00692477" w:rsidP="00692477">
      <w:pPr>
        <w:ind w:firstLine="708"/>
        <w:jc w:val="both"/>
        <w:rPr>
          <w:rFonts w:ascii="Times New Roman" w:hAnsi="Times New Roman" w:cs="Times New Roman"/>
        </w:rPr>
      </w:pPr>
      <w:r w:rsidRPr="00620BDA">
        <w:rPr>
          <w:rFonts w:ascii="Times New Roman" w:hAnsi="Times New Roman" w:cs="Times New Roman"/>
        </w:rPr>
        <w:t xml:space="preserve">Bilinmektedir ki bestecinin etütleri </w:t>
      </w:r>
      <w:proofErr w:type="spellStart"/>
      <w:r w:rsidRPr="00620BDA">
        <w:rPr>
          <w:rFonts w:ascii="Times New Roman" w:hAnsi="Times New Roman" w:cs="Times New Roman"/>
        </w:rPr>
        <w:t>virtüözite</w:t>
      </w:r>
      <w:proofErr w:type="spellEnd"/>
      <w:r w:rsidRPr="00620BDA">
        <w:rPr>
          <w:rFonts w:ascii="Times New Roman" w:hAnsi="Times New Roman" w:cs="Times New Roman"/>
        </w:rPr>
        <w:t xml:space="preserve"> aracı, (</w:t>
      </w:r>
      <w:proofErr w:type="spellStart"/>
      <w:r w:rsidRPr="00620BDA">
        <w:rPr>
          <w:rFonts w:ascii="Times New Roman" w:hAnsi="Times New Roman" w:cs="Times New Roman"/>
        </w:rPr>
        <w:t>konstrüktif</w:t>
      </w:r>
      <w:proofErr w:type="spellEnd"/>
      <w:r w:rsidRPr="00620BDA">
        <w:rPr>
          <w:rFonts w:ascii="Times New Roman" w:hAnsi="Times New Roman" w:cs="Times New Roman"/>
        </w:rPr>
        <w:t xml:space="preserve">) antrenmanlık/teknik gelişimi aracı gibi kullanmamalıdır. Nitekim etütleri piyano edebiyatında önemli yer almaktadır. Orijinal düşünce, yenilik, şiirsel içerikle dolu bu eserler piyano repertuarının önemli parçalarıdır. Bestecinin kendisi çok iyi bir konser piyanisti olduğundan dolayı etütler her bir piyanistin rahat çalabilecek, konforlu </w:t>
      </w:r>
      <w:proofErr w:type="spellStart"/>
      <w:r w:rsidRPr="00620BDA">
        <w:rPr>
          <w:rFonts w:ascii="Times New Roman" w:hAnsi="Times New Roman" w:cs="Times New Roman"/>
        </w:rPr>
        <w:t>piyanistik</w:t>
      </w:r>
      <w:proofErr w:type="spellEnd"/>
      <w:r w:rsidRPr="00620BDA">
        <w:rPr>
          <w:rFonts w:ascii="Times New Roman" w:hAnsi="Times New Roman" w:cs="Times New Roman"/>
        </w:rPr>
        <w:t xml:space="preserve"> özellikler taşımaktadır. Etütler Chopin’in yeni eser biçimi/</w:t>
      </w:r>
      <w:proofErr w:type="gramStart"/>
      <w:r w:rsidRPr="00620BDA">
        <w:rPr>
          <w:rFonts w:ascii="Times New Roman" w:hAnsi="Times New Roman" w:cs="Times New Roman"/>
        </w:rPr>
        <w:t>janrı</w:t>
      </w:r>
      <w:proofErr w:type="gramEnd"/>
      <w:r w:rsidRPr="00620BDA">
        <w:rPr>
          <w:rFonts w:ascii="Times New Roman" w:hAnsi="Times New Roman" w:cs="Times New Roman"/>
        </w:rPr>
        <w:t xml:space="preserve"> olarak tanıtılabilir. Doğaçlamaya dayanan beste teknikleri besteci tarafından ustalıkla etütlere dönüştürülmüştür. Piyanist ellerine yatkınlıkları bunu ispat etmektedir. Sanki müziğin kendisi ellerin, bileğin, parmakların doğru ve doğal hareketlerini oluşturmakta/doğmaktadır. İçerik ve formun doğal bileşimi, her çeşit piyano tekniklerinin (tuştan ses çıkarma, tuşe, dinamik işaretler, ses renkleri) etütlerin sanatsal amaçlarına dayanır.</w:t>
      </w:r>
    </w:p>
    <w:p w:rsidR="00692477" w:rsidRPr="00620BDA" w:rsidRDefault="00692477" w:rsidP="00692477">
      <w:pPr>
        <w:ind w:firstLine="708"/>
        <w:jc w:val="both"/>
        <w:rPr>
          <w:rFonts w:ascii="Times New Roman" w:hAnsi="Times New Roman" w:cs="Times New Roman"/>
        </w:rPr>
      </w:pPr>
      <w:r w:rsidRPr="00620BDA">
        <w:rPr>
          <w:rFonts w:ascii="Times New Roman" w:hAnsi="Times New Roman" w:cs="Times New Roman"/>
        </w:rPr>
        <w:t>Ayrıca besteci piyano çalgısının özelliklerini, ruhunu tüm bestelerinde ustalıkla gösterebilmiştir. Melodi, armoni ve kontrpuanın sentezi çalgıdaki özellikleri ifade etmiştir. Etütlerde kullandığı değişik terimler (</w:t>
      </w:r>
      <w:proofErr w:type="spellStart"/>
      <w:r w:rsidRPr="00620BDA">
        <w:rPr>
          <w:rFonts w:ascii="Times New Roman" w:hAnsi="Times New Roman" w:cs="Times New Roman"/>
          <w:i/>
        </w:rPr>
        <w:t>Doppio</w:t>
      </w:r>
      <w:proofErr w:type="spellEnd"/>
      <w:r w:rsidRPr="00620BDA">
        <w:rPr>
          <w:rFonts w:ascii="Times New Roman" w:hAnsi="Times New Roman" w:cs="Times New Roman"/>
          <w:i/>
        </w:rPr>
        <w:t xml:space="preserve"> </w:t>
      </w:r>
      <w:proofErr w:type="spellStart"/>
      <w:r w:rsidRPr="00620BDA">
        <w:rPr>
          <w:rFonts w:ascii="Times New Roman" w:hAnsi="Times New Roman" w:cs="Times New Roman"/>
          <w:i/>
        </w:rPr>
        <w:t>movimento</w:t>
      </w:r>
      <w:proofErr w:type="spellEnd"/>
      <w:r w:rsidRPr="00620BDA">
        <w:rPr>
          <w:rFonts w:ascii="Times New Roman" w:hAnsi="Times New Roman" w:cs="Times New Roman"/>
          <w:i/>
        </w:rPr>
        <w:t xml:space="preserve">, Andante </w:t>
      </w:r>
      <w:proofErr w:type="spellStart"/>
      <w:r w:rsidRPr="00620BDA">
        <w:rPr>
          <w:rFonts w:ascii="Times New Roman" w:hAnsi="Times New Roman" w:cs="Times New Roman"/>
          <w:i/>
        </w:rPr>
        <w:t>spianato</w:t>
      </w:r>
      <w:proofErr w:type="spellEnd"/>
      <w:r w:rsidRPr="00620BDA">
        <w:rPr>
          <w:rFonts w:ascii="Times New Roman" w:hAnsi="Times New Roman" w:cs="Times New Roman"/>
          <w:i/>
        </w:rPr>
        <w:t xml:space="preserve">, </w:t>
      </w:r>
      <w:proofErr w:type="spellStart"/>
      <w:r w:rsidRPr="00620BDA">
        <w:rPr>
          <w:rFonts w:ascii="Times New Roman" w:hAnsi="Times New Roman" w:cs="Times New Roman"/>
          <w:i/>
        </w:rPr>
        <w:t>sotto</w:t>
      </w:r>
      <w:proofErr w:type="spellEnd"/>
      <w:r w:rsidRPr="00620BDA">
        <w:rPr>
          <w:rFonts w:ascii="Times New Roman" w:hAnsi="Times New Roman" w:cs="Times New Roman"/>
          <w:i/>
        </w:rPr>
        <w:t xml:space="preserve"> </w:t>
      </w:r>
      <w:proofErr w:type="spellStart"/>
      <w:r w:rsidRPr="00620BDA">
        <w:rPr>
          <w:rFonts w:ascii="Times New Roman" w:hAnsi="Times New Roman" w:cs="Times New Roman"/>
          <w:i/>
        </w:rPr>
        <w:t>voce</w:t>
      </w:r>
      <w:proofErr w:type="spellEnd"/>
      <w:r w:rsidRPr="00620BDA">
        <w:rPr>
          <w:rFonts w:ascii="Times New Roman" w:hAnsi="Times New Roman" w:cs="Times New Roman"/>
          <w:i/>
        </w:rPr>
        <w:t xml:space="preserve">, </w:t>
      </w:r>
      <w:proofErr w:type="spellStart"/>
      <w:r w:rsidRPr="00620BDA">
        <w:rPr>
          <w:rFonts w:ascii="Times New Roman" w:hAnsi="Times New Roman" w:cs="Times New Roman"/>
          <w:i/>
        </w:rPr>
        <w:t>mezzo</w:t>
      </w:r>
      <w:proofErr w:type="spellEnd"/>
      <w:r w:rsidRPr="00620BDA">
        <w:rPr>
          <w:rFonts w:ascii="Times New Roman" w:hAnsi="Times New Roman" w:cs="Times New Roman"/>
          <w:i/>
        </w:rPr>
        <w:t xml:space="preserve"> </w:t>
      </w:r>
      <w:proofErr w:type="spellStart"/>
      <w:r w:rsidRPr="00620BDA">
        <w:rPr>
          <w:rFonts w:ascii="Times New Roman" w:hAnsi="Times New Roman" w:cs="Times New Roman"/>
          <w:i/>
        </w:rPr>
        <w:t>voce</w:t>
      </w:r>
      <w:proofErr w:type="spellEnd"/>
      <w:r w:rsidRPr="00620BDA">
        <w:rPr>
          <w:rFonts w:ascii="Times New Roman" w:hAnsi="Times New Roman" w:cs="Times New Roman"/>
          <w:i/>
        </w:rPr>
        <w:t>)</w:t>
      </w:r>
      <w:r w:rsidRPr="00620BDA">
        <w:rPr>
          <w:rFonts w:ascii="Times New Roman" w:hAnsi="Times New Roman" w:cs="Times New Roman"/>
        </w:rPr>
        <w:t xml:space="preserve"> genel ses kalitesinin uyarıları sayılabilir ve kısmen icracının katkı sağlaması/kendi yorumum için </w:t>
      </w:r>
      <w:proofErr w:type="gramStart"/>
      <w:r w:rsidRPr="00620BDA">
        <w:rPr>
          <w:rFonts w:ascii="Times New Roman" w:hAnsi="Times New Roman" w:cs="Times New Roman"/>
        </w:rPr>
        <w:t>imkan</w:t>
      </w:r>
      <w:proofErr w:type="gramEnd"/>
      <w:r w:rsidRPr="00620BDA">
        <w:rPr>
          <w:rFonts w:ascii="Times New Roman" w:hAnsi="Times New Roman" w:cs="Times New Roman"/>
        </w:rPr>
        <w:t xml:space="preserve"> yaratmaktadır. Aynı zamanda etütlerin yorumunda dakik, net ritme dikkat etmek gerekir. Etütlerin bazen rastladığımız polifonik özelliklerini de görebiliriz; melodilerin, temanın gizli şekilde karşı seslerde sunulması gibi.</w:t>
      </w:r>
    </w:p>
    <w:p w:rsidR="00692477" w:rsidRPr="00620BDA" w:rsidRDefault="00692477" w:rsidP="00692477">
      <w:pPr>
        <w:ind w:firstLine="708"/>
        <w:jc w:val="both"/>
        <w:rPr>
          <w:rFonts w:ascii="Times New Roman" w:hAnsi="Times New Roman" w:cs="Times New Roman"/>
        </w:rPr>
      </w:pPr>
      <w:r w:rsidRPr="00620BDA">
        <w:rPr>
          <w:rFonts w:ascii="Times New Roman" w:hAnsi="Times New Roman" w:cs="Times New Roman"/>
        </w:rPr>
        <w:t xml:space="preserve">Tuşlara dokunma tekniği, </w:t>
      </w:r>
      <w:proofErr w:type="spellStart"/>
      <w:r w:rsidRPr="00620BDA">
        <w:rPr>
          <w:rFonts w:ascii="Times New Roman" w:hAnsi="Times New Roman" w:cs="Times New Roman"/>
        </w:rPr>
        <w:t>applikatürün</w:t>
      </w:r>
      <w:proofErr w:type="spellEnd"/>
      <w:r w:rsidRPr="00620BDA">
        <w:rPr>
          <w:rFonts w:ascii="Times New Roman" w:hAnsi="Times New Roman" w:cs="Times New Roman"/>
        </w:rPr>
        <w:t xml:space="preserve">/parmak düzeninin doğal olarak parmaklara uyumu bestecinin eserlerinin ilk önce yüksek </w:t>
      </w:r>
      <w:proofErr w:type="spellStart"/>
      <w:r w:rsidRPr="00620BDA">
        <w:rPr>
          <w:rFonts w:ascii="Times New Roman" w:hAnsi="Times New Roman" w:cs="Times New Roman"/>
        </w:rPr>
        <w:t>piyanizme</w:t>
      </w:r>
      <w:proofErr w:type="spellEnd"/>
      <w:r w:rsidRPr="00620BDA">
        <w:rPr>
          <w:rFonts w:ascii="Times New Roman" w:hAnsi="Times New Roman" w:cs="Times New Roman"/>
        </w:rPr>
        <w:t xml:space="preserve"> dayandığını görmekteyiz. Her çeşit piyano tekniğini geliştirecek, parmak özgürlüğü yaratacak, </w:t>
      </w:r>
      <w:proofErr w:type="spellStart"/>
      <w:r w:rsidRPr="00620BDA">
        <w:rPr>
          <w:rFonts w:ascii="Times New Roman" w:hAnsi="Times New Roman" w:cs="Times New Roman"/>
        </w:rPr>
        <w:t>kromatizmleri</w:t>
      </w:r>
      <w:proofErr w:type="spellEnd"/>
      <w:r w:rsidRPr="00620BDA">
        <w:rPr>
          <w:rFonts w:ascii="Times New Roman" w:hAnsi="Times New Roman" w:cs="Times New Roman"/>
        </w:rPr>
        <w:t>, oktavları, arpejleri, çift sesli tekniği, çeşitli aralıkları, serbest bileği vs. vb gibi becerileri sunulmuştur.</w:t>
      </w:r>
    </w:p>
    <w:p w:rsidR="00692477" w:rsidRPr="00620BDA" w:rsidRDefault="00692477" w:rsidP="00692477">
      <w:pPr>
        <w:ind w:firstLine="708"/>
        <w:jc w:val="both"/>
        <w:rPr>
          <w:rFonts w:ascii="Times New Roman" w:hAnsi="Times New Roman" w:cs="Times New Roman"/>
        </w:rPr>
      </w:pPr>
      <w:r w:rsidRPr="00620BDA">
        <w:rPr>
          <w:rFonts w:ascii="Times New Roman" w:hAnsi="Times New Roman" w:cs="Times New Roman"/>
        </w:rPr>
        <w:t>Söz konusu etüt melodinin icrasında kromatik geçişlerle 3</w:t>
      </w:r>
      <w:proofErr w:type="gramStart"/>
      <w:r w:rsidRPr="00620BDA">
        <w:rPr>
          <w:rFonts w:ascii="Times New Roman" w:hAnsi="Times New Roman" w:cs="Times New Roman"/>
        </w:rPr>
        <w:t>.,</w:t>
      </w:r>
      <w:proofErr w:type="gramEnd"/>
      <w:r w:rsidRPr="00620BDA">
        <w:rPr>
          <w:rFonts w:ascii="Times New Roman" w:hAnsi="Times New Roman" w:cs="Times New Roman"/>
        </w:rPr>
        <w:t xml:space="preserve"> 4., 5. parmakları geliştirerek, melodinin ifadesinde bu parmakların yoğun çalışmasını sağlamaktadır. Önerilen çalışma: sağ elin partisini iki el ile çalmaktır. Akıcı ve legato sağ elde melodinin ifadesini sağlar. Hafif ve şeffaflık (</w:t>
      </w:r>
      <w:proofErr w:type="spellStart"/>
      <w:r w:rsidRPr="00620BDA">
        <w:rPr>
          <w:rFonts w:ascii="Times New Roman" w:hAnsi="Times New Roman" w:cs="Times New Roman"/>
          <w:i/>
        </w:rPr>
        <w:t>leggiero</w:t>
      </w:r>
      <w:proofErr w:type="spellEnd"/>
      <w:r w:rsidRPr="00620BDA">
        <w:rPr>
          <w:rFonts w:ascii="Times New Roman" w:hAnsi="Times New Roman" w:cs="Times New Roman"/>
        </w:rPr>
        <w:t xml:space="preserve">) tuşe tuşlara hafif ve kısa dokunuşla uygulanmalıdır. Kısa, derin olmayan pedal ile </w:t>
      </w:r>
      <w:proofErr w:type="spellStart"/>
      <w:r w:rsidRPr="00620BDA">
        <w:rPr>
          <w:rFonts w:ascii="Times New Roman" w:hAnsi="Times New Roman" w:cs="Times New Roman"/>
        </w:rPr>
        <w:t>kromatizmlerde</w:t>
      </w:r>
      <w:proofErr w:type="spellEnd"/>
      <w:r w:rsidRPr="00620BDA">
        <w:rPr>
          <w:rFonts w:ascii="Times New Roman" w:hAnsi="Times New Roman" w:cs="Times New Roman"/>
        </w:rPr>
        <w:t xml:space="preserve"> sağ </w:t>
      </w:r>
      <w:proofErr w:type="spellStart"/>
      <w:r w:rsidRPr="00620BDA">
        <w:rPr>
          <w:rFonts w:ascii="Times New Roman" w:hAnsi="Times New Roman" w:cs="Times New Roman"/>
        </w:rPr>
        <w:t>rejisterde</w:t>
      </w:r>
      <w:proofErr w:type="spellEnd"/>
      <w:r w:rsidRPr="00620BDA">
        <w:rPr>
          <w:rFonts w:ascii="Times New Roman" w:hAnsi="Times New Roman" w:cs="Times New Roman"/>
        </w:rPr>
        <w:t xml:space="preserve"> belli olmamalıdır. Her bir 16 </w:t>
      </w:r>
      <w:proofErr w:type="spellStart"/>
      <w:r w:rsidRPr="00620BDA">
        <w:rPr>
          <w:rFonts w:ascii="Times New Roman" w:hAnsi="Times New Roman" w:cs="Times New Roman"/>
        </w:rPr>
        <w:t>lık</w:t>
      </w:r>
      <w:proofErr w:type="spellEnd"/>
      <w:r w:rsidRPr="00620BDA">
        <w:rPr>
          <w:rFonts w:ascii="Times New Roman" w:hAnsi="Times New Roman" w:cs="Times New Roman"/>
        </w:rPr>
        <w:t xml:space="preserve"> dörtlü yuvarlayarak, köşesiz, aksansız ve eşit çalınmalıdır. Sol elin </w:t>
      </w:r>
      <w:proofErr w:type="spellStart"/>
      <w:r w:rsidRPr="00620BDA">
        <w:rPr>
          <w:rFonts w:ascii="Times New Roman" w:hAnsi="Times New Roman" w:cs="Times New Roman"/>
        </w:rPr>
        <w:t>akorların</w:t>
      </w:r>
      <w:proofErr w:type="spellEnd"/>
      <w:r w:rsidRPr="00620BDA">
        <w:rPr>
          <w:rFonts w:ascii="Times New Roman" w:hAnsi="Times New Roman" w:cs="Times New Roman"/>
        </w:rPr>
        <w:t xml:space="preserve"> tınısını duyurarak ve hafif çalmak gerekir. Presto temposu baştan sonuna kadar sağlanmalıdır. Sağ ve sol elin orta bölümde senkronizesine dikkat etmek gerekir.</w:t>
      </w: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center"/>
        <w:rPr>
          <w:rFonts w:ascii="Times New Roman" w:hAnsi="Times New Roman" w:cs="Times New Roman"/>
        </w:rPr>
      </w:pPr>
      <w:r>
        <w:rPr>
          <w:rFonts w:ascii="Times New Roman" w:hAnsi="Times New Roman" w:cs="Times New Roman"/>
          <w:noProof/>
          <w:lang w:eastAsia="tr-TR"/>
        </w:rPr>
        <w:lastRenderedPageBreak/>
        <w:drawing>
          <wp:inline distT="0" distB="0" distL="0" distR="0">
            <wp:extent cx="3238500" cy="4444850"/>
            <wp:effectExtent l="1905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cstate="print"/>
                    <a:srcRect/>
                    <a:stretch>
                      <a:fillRect/>
                    </a:stretch>
                  </pic:blipFill>
                  <pic:spPr bwMode="auto">
                    <a:xfrm>
                      <a:off x="0" y="0"/>
                      <a:ext cx="3238851" cy="4445331"/>
                    </a:xfrm>
                    <a:prstGeom prst="rect">
                      <a:avLst/>
                    </a:prstGeom>
                    <a:noFill/>
                    <a:ln w="9525">
                      <a:noFill/>
                      <a:miter lim="800000"/>
                      <a:headEnd/>
                      <a:tailEnd/>
                    </a:ln>
                  </pic:spPr>
                </pic:pic>
              </a:graphicData>
            </a:graphic>
          </wp:inline>
        </w:drawing>
      </w:r>
      <w:r>
        <w:rPr>
          <w:rFonts w:ascii="Times New Roman" w:hAnsi="Times New Roman" w:cs="Times New Roman"/>
          <w:noProof/>
          <w:lang w:eastAsia="tr-TR"/>
        </w:rPr>
        <w:drawing>
          <wp:inline distT="0" distB="0" distL="0" distR="0">
            <wp:extent cx="3233982" cy="4438650"/>
            <wp:effectExtent l="19050" t="0" r="4518"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cstate="print"/>
                    <a:srcRect/>
                    <a:stretch>
                      <a:fillRect/>
                    </a:stretch>
                  </pic:blipFill>
                  <pic:spPr bwMode="auto">
                    <a:xfrm>
                      <a:off x="0" y="0"/>
                      <a:ext cx="3235143" cy="4440243"/>
                    </a:xfrm>
                    <a:prstGeom prst="rect">
                      <a:avLst/>
                    </a:prstGeom>
                    <a:noFill/>
                    <a:ln w="9525">
                      <a:noFill/>
                      <a:miter lim="800000"/>
                      <a:headEnd/>
                      <a:tailEnd/>
                    </a:ln>
                  </pic:spPr>
                </pic:pic>
              </a:graphicData>
            </a:graphic>
          </wp:inline>
        </w:drawing>
      </w:r>
    </w:p>
    <w:p w:rsidR="00692477" w:rsidRDefault="00692477" w:rsidP="00692477">
      <w:pPr>
        <w:ind w:firstLine="708"/>
        <w:jc w:val="center"/>
        <w:rPr>
          <w:rFonts w:ascii="Times New Roman" w:hAnsi="Times New Roman" w:cs="Times New Roman"/>
        </w:rPr>
      </w:pPr>
      <w:r>
        <w:rPr>
          <w:rFonts w:ascii="Times New Roman" w:hAnsi="Times New Roman" w:cs="Times New Roman"/>
          <w:noProof/>
          <w:lang w:eastAsia="tr-TR"/>
        </w:rPr>
        <w:lastRenderedPageBreak/>
        <w:drawing>
          <wp:inline distT="0" distB="0" distL="0" distR="0">
            <wp:extent cx="3076575" cy="4222607"/>
            <wp:effectExtent l="19050" t="0" r="9525"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srcRect/>
                    <a:stretch>
                      <a:fillRect/>
                    </a:stretch>
                  </pic:blipFill>
                  <pic:spPr bwMode="auto">
                    <a:xfrm>
                      <a:off x="0" y="0"/>
                      <a:ext cx="3076908" cy="4223064"/>
                    </a:xfrm>
                    <a:prstGeom prst="rect">
                      <a:avLst/>
                    </a:prstGeom>
                    <a:noFill/>
                    <a:ln w="9525">
                      <a:noFill/>
                      <a:miter lim="800000"/>
                      <a:headEnd/>
                      <a:tailEnd/>
                    </a:ln>
                  </pic:spPr>
                </pic:pic>
              </a:graphicData>
            </a:graphic>
          </wp:inline>
        </w:drawing>
      </w:r>
      <w:r>
        <w:rPr>
          <w:rFonts w:ascii="Times New Roman" w:hAnsi="Times New Roman" w:cs="Times New Roman"/>
          <w:noProof/>
          <w:lang w:eastAsia="tr-TR"/>
        </w:rPr>
        <w:drawing>
          <wp:inline distT="0" distB="0" distL="0" distR="0">
            <wp:extent cx="3213162" cy="4410075"/>
            <wp:effectExtent l="19050" t="0" r="6288"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3215660" cy="4413504"/>
                    </a:xfrm>
                    <a:prstGeom prst="rect">
                      <a:avLst/>
                    </a:prstGeom>
                    <a:noFill/>
                    <a:ln w="9525">
                      <a:noFill/>
                      <a:miter lim="800000"/>
                      <a:headEnd/>
                      <a:tailEnd/>
                    </a:ln>
                  </pic:spPr>
                </pic:pic>
              </a:graphicData>
            </a:graphic>
          </wp:inline>
        </w:drawing>
      </w:r>
    </w:p>
    <w:p w:rsidR="00692477" w:rsidRDefault="00692477" w:rsidP="00692477">
      <w:pPr>
        <w:ind w:firstLine="708"/>
        <w:jc w:val="center"/>
        <w:rPr>
          <w:rFonts w:ascii="Times New Roman" w:hAnsi="Times New Roman" w:cs="Times New Roman"/>
        </w:rPr>
      </w:pPr>
      <w:r>
        <w:rPr>
          <w:rFonts w:ascii="Times New Roman" w:hAnsi="Times New Roman" w:cs="Times New Roman"/>
          <w:noProof/>
          <w:lang w:eastAsia="tr-TR"/>
        </w:rPr>
        <w:lastRenderedPageBreak/>
        <w:drawing>
          <wp:inline distT="0" distB="0" distL="0" distR="0">
            <wp:extent cx="3028950" cy="4157243"/>
            <wp:effectExtent l="1905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3031144" cy="4160255"/>
                    </a:xfrm>
                    <a:prstGeom prst="rect">
                      <a:avLst/>
                    </a:prstGeom>
                    <a:noFill/>
                    <a:ln w="9525">
                      <a:noFill/>
                      <a:miter lim="800000"/>
                      <a:headEnd/>
                      <a:tailEnd/>
                    </a:ln>
                  </pic:spPr>
                </pic:pic>
              </a:graphicData>
            </a:graphic>
          </wp:inline>
        </w:drawing>
      </w: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692477" w:rsidRDefault="00692477" w:rsidP="00692477">
      <w:pPr>
        <w:ind w:firstLine="708"/>
        <w:jc w:val="both"/>
        <w:rPr>
          <w:rFonts w:ascii="Times New Roman" w:hAnsi="Times New Roman" w:cs="Times New Roman"/>
        </w:rPr>
      </w:pPr>
    </w:p>
    <w:p w:rsidR="00987CF8" w:rsidRDefault="00987CF8"/>
    <w:sectPr w:rsidR="00987CF8" w:rsidSect="00987C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92477"/>
    <w:rsid w:val="00692477"/>
    <w:rsid w:val="00987CF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47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9247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924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Kullanıcı</dc:creator>
  <cp:keywords/>
  <dc:description/>
  <cp:lastModifiedBy>Kullanıcı</cp:lastModifiedBy>
  <cp:revision>2</cp:revision>
  <dcterms:created xsi:type="dcterms:W3CDTF">2019-01-15T10:32:00Z</dcterms:created>
  <dcterms:modified xsi:type="dcterms:W3CDTF">2019-01-15T10:32:00Z</dcterms:modified>
</cp:coreProperties>
</file>