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b/>
          <w:sz w:val="22"/>
          <w:szCs w:val="22"/>
        </w:rPr>
      </w:pPr>
      <w:proofErr w:type="spellStart"/>
      <w:proofErr w:type="gramStart"/>
      <w:r w:rsidRPr="00620BDA">
        <w:rPr>
          <w:b/>
          <w:sz w:val="22"/>
          <w:szCs w:val="22"/>
        </w:rPr>
        <w:t>M.Moshkovsky</w:t>
      </w:r>
      <w:proofErr w:type="spellEnd"/>
      <w:r>
        <w:rPr>
          <w:b/>
          <w:sz w:val="22"/>
          <w:szCs w:val="22"/>
        </w:rPr>
        <w:t xml:space="preserve"> .</w:t>
      </w:r>
      <w:proofErr w:type="gramEnd"/>
      <w:r>
        <w:rPr>
          <w:b/>
          <w:sz w:val="22"/>
          <w:szCs w:val="22"/>
        </w:rPr>
        <w:t xml:space="preserve"> </w:t>
      </w:r>
      <w:r w:rsidRPr="00620BDA">
        <w:rPr>
          <w:b/>
          <w:sz w:val="22"/>
          <w:szCs w:val="22"/>
        </w:rPr>
        <w:t>15 Virtüöz Etüt op.72 no.9</w:t>
      </w:r>
    </w:p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b/>
          <w:sz w:val="22"/>
          <w:szCs w:val="22"/>
        </w:rPr>
      </w:pPr>
    </w:p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proofErr w:type="spellStart"/>
      <w:r w:rsidRPr="00620BDA">
        <w:rPr>
          <w:sz w:val="22"/>
          <w:szCs w:val="22"/>
        </w:rPr>
        <w:t>M.Moshkovsky’nin</w:t>
      </w:r>
      <w:proofErr w:type="spellEnd"/>
      <w:r w:rsidRPr="00620BDA">
        <w:rPr>
          <w:sz w:val="22"/>
          <w:szCs w:val="22"/>
        </w:rPr>
        <w:t xml:space="preserve"> etütleri konser türü parçalara benzer. Etüt d-</w:t>
      </w:r>
      <w:proofErr w:type="spellStart"/>
      <w:r w:rsidRPr="00620BDA">
        <w:rPr>
          <w:sz w:val="22"/>
          <w:szCs w:val="22"/>
        </w:rPr>
        <w:t>moll</w:t>
      </w:r>
      <w:proofErr w:type="spellEnd"/>
      <w:r w:rsidRPr="00620BDA">
        <w:rPr>
          <w:sz w:val="22"/>
          <w:szCs w:val="22"/>
        </w:rPr>
        <w:t xml:space="preserve"> coşkulu, patetik karakter taşımaktadır.</w:t>
      </w:r>
    </w:p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t xml:space="preserve">Başında nabızlı üçlemelerle başlayan heyecanlı giriş vardır. Birinci bölümün dramatik gelişimi ardından orta bölümde artık aydınlık duyulmaktadır. </w:t>
      </w:r>
    </w:p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:rsidR="00311512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:rsidR="00311512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tr-TR"/>
        </w:rPr>
        <w:drawing>
          <wp:inline distT="0" distB="0" distL="0" distR="0">
            <wp:extent cx="4857913" cy="6667500"/>
            <wp:effectExtent l="19050" t="0" r="0" b="0"/>
            <wp:docPr id="2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8438" cy="6668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512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:rsidR="00311512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</w:p>
    <w:p w:rsidR="00311512" w:rsidRDefault="00311512" w:rsidP="00311512">
      <w:pPr>
        <w:pStyle w:val="Default"/>
        <w:spacing w:line="276" w:lineRule="auto"/>
        <w:ind w:firstLine="708"/>
        <w:jc w:val="center"/>
        <w:rPr>
          <w:sz w:val="22"/>
          <w:szCs w:val="22"/>
        </w:rPr>
      </w:pPr>
      <w:r>
        <w:rPr>
          <w:noProof/>
          <w:sz w:val="22"/>
          <w:szCs w:val="22"/>
          <w:lang w:eastAsia="tr-TR"/>
        </w:rPr>
        <w:lastRenderedPageBreak/>
        <w:drawing>
          <wp:inline distT="0" distB="0" distL="0" distR="0">
            <wp:extent cx="3295650" cy="4523290"/>
            <wp:effectExtent l="19050" t="0" r="0" b="0"/>
            <wp:docPr id="7" name="Resi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160" cy="4528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2"/>
          <w:szCs w:val="22"/>
          <w:lang w:eastAsia="tr-TR"/>
        </w:rPr>
        <w:drawing>
          <wp:inline distT="0" distB="0" distL="0" distR="0">
            <wp:extent cx="3136824" cy="4305300"/>
            <wp:effectExtent l="19050" t="0" r="6426" b="0"/>
            <wp:docPr id="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371" cy="4312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512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tr-TR"/>
        </w:rPr>
        <w:lastRenderedPageBreak/>
        <w:drawing>
          <wp:inline distT="0" distB="0" distL="0" distR="0">
            <wp:extent cx="3181350" cy="4366410"/>
            <wp:effectExtent l="19050" t="0" r="0" b="0"/>
            <wp:docPr id="10" name="Resi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694" cy="4366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512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tr-TR"/>
        </w:rPr>
        <w:drawing>
          <wp:inline distT="0" distB="0" distL="0" distR="0">
            <wp:extent cx="3276600" cy="4497142"/>
            <wp:effectExtent l="19050" t="0" r="0" b="0"/>
            <wp:docPr id="13" name="Resi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521" cy="4501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lastRenderedPageBreak/>
        <w:t xml:space="preserve">Fakat sonra yine de müzik dramatik havasına dönmektedir. </w:t>
      </w:r>
    </w:p>
    <w:p w:rsidR="00311512" w:rsidRPr="00620BDA" w:rsidRDefault="00311512" w:rsidP="00311512">
      <w:pPr>
        <w:pStyle w:val="Default"/>
        <w:spacing w:line="276" w:lineRule="auto"/>
        <w:jc w:val="both"/>
        <w:rPr>
          <w:sz w:val="22"/>
          <w:szCs w:val="22"/>
        </w:rPr>
      </w:pPr>
    </w:p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t xml:space="preserve">Peşinden duygu gerilimi düşmektedir. Oktavlı geçişle aşağı </w:t>
      </w:r>
      <w:proofErr w:type="spellStart"/>
      <w:r w:rsidRPr="00620BDA">
        <w:rPr>
          <w:i/>
          <w:sz w:val="22"/>
          <w:szCs w:val="22"/>
        </w:rPr>
        <w:t>rejistre</w:t>
      </w:r>
      <w:proofErr w:type="spellEnd"/>
      <w:r w:rsidRPr="00620BDA">
        <w:rPr>
          <w:i/>
          <w:sz w:val="22"/>
          <w:szCs w:val="22"/>
        </w:rPr>
        <w:t xml:space="preserve"> </w:t>
      </w:r>
      <w:r w:rsidRPr="00620BDA">
        <w:rPr>
          <w:sz w:val="22"/>
          <w:szCs w:val="22"/>
        </w:rPr>
        <w:t>gidiyor, sol elde tekrar edilen/</w:t>
      </w:r>
      <w:proofErr w:type="spellStart"/>
      <w:r w:rsidRPr="00620BDA">
        <w:rPr>
          <w:sz w:val="22"/>
          <w:szCs w:val="22"/>
        </w:rPr>
        <w:t>repetisyon</w:t>
      </w:r>
      <w:proofErr w:type="spellEnd"/>
      <w:r w:rsidRPr="00620BDA">
        <w:rPr>
          <w:sz w:val="22"/>
          <w:szCs w:val="22"/>
        </w:rPr>
        <w:t xml:space="preserve"> tekniği ile sağ elde kısa tınlayan </w:t>
      </w:r>
      <w:proofErr w:type="spellStart"/>
      <w:r w:rsidRPr="00620BDA">
        <w:rPr>
          <w:sz w:val="22"/>
          <w:szCs w:val="22"/>
        </w:rPr>
        <w:t>akorlarla</w:t>
      </w:r>
      <w:proofErr w:type="spellEnd"/>
      <w:r w:rsidRPr="00620BDA">
        <w:rPr>
          <w:sz w:val="22"/>
          <w:szCs w:val="22"/>
        </w:rPr>
        <w:t xml:space="preserve"> </w:t>
      </w:r>
      <w:proofErr w:type="spellStart"/>
      <w:r w:rsidRPr="00620BDA">
        <w:rPr>
          <w:i/>
          <w:sz w:val="22"/>
          <w:szCs w:val="22"/>
        </w:rPr>
        <w:t>molto</w:t>
      </w:r>
      <w:proofErr w:type="spellEnd"/>
      <w:r w:rsidRPr="00620BDA">
        <w:rPr>
          <w:i/>
          <w:sz w:val="22"/>
          <w:szCs w:val="22"/>
        </w:rPr>
        <w:t xml:space="preserve"> </w:t>
      </w:r>
      <w:proofErr w:type="spellStart"/>
      <w:r w:rsidRPr="00620BDA">
        <w:rPr>
          <w:i/>
          <w:sz w:val="22"/>
          <w:szCs w:val="22"/>
        </w:rPr>
        <w:t>morendo</w:t>
      </w:r>
      <w:proofErr w:type="spellEnd"/>
      <w:r w:rsidRPr="00620BDA">
        <w:rPr>
          <w:sz w:val="22"/>
          <w:szCs w:val="22"/>
        </w:rPr>
        <w:t xml:space="preserve"> ile biter.</w:t>
      </w:r>
    </w:p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t xml:space="preserve">Bu Etüdün öğrenciye çeşitli oktav tekniğinin </w:t>
      </w:r>
      <w:proofErr w:type="spellStart"/>
      <w:r w:rsidRPr="00620BDA">
        <w:rPr>
          <w:sz w:val="22"/>
          <w:szCs w:val="22"/>
        </w:rPr>
        <w:t>figürasonlarını</w:t>
      </w:r>
      <w:proofErr w:type="spellEnd"/>
      <w:r w:rsidRPr="00620BDA">
        <w:rPr>
          <w:sz w:val="22"/>
          <w:szCs w:val="22"/>
        </w:rPr>
        <w:t xml:space="preserve"> öğretmesi söz konusu. Bunlardan: </w:t>
      </w:r>
      <w:proofErr w:type="spellStart"/>
      <w:r w:rsidRPr="00620BDA">
        <w:rPr>
          <w:sz w:val="22"/>
          <w:szCs w:val="22"/>
        </w:rPr>
        <w:t>repetisyon</w:t>
      </w:r>
      <w:proofErr w:type="spellEnd"/>
      <w:r w:rsidRPr="00620BDA">
        <w:rPr>
          <w:sz w:val="22"/>
          <w:szCs w:val="22"/>
        </w:rPr>
        <w:t xml:space="preserve">, arpej, gamlar, </w:t>
      </w:r>
      <w:proofErr w:type="spellStart"/>
      <w:r w:rsidRPr="00620BDA">
        <w:rPr>
          <w:sz w:val="22"/>
          <w:szCs w:val="22"/>
        </w:rPr>
        <w:t>diatonik</w:t>
      </w:r>
      <w:proofErr w:type="spellEnd"/>
      <w:r w:rsidRPr="00620BDA">
        <w:rPr>
          <w:sz w:val="22"/>
          <w:szCs w:val="22"/>
        </w:rPr>
        <w:t xml:space="preserve"> ve kromatik malzeme ile sağ ve sol elde, karışık şekilde ve ya birlikte verilmiştir. İki çeşit oktavlara da rastlamaktayız: hafif ve ağır. </w:t>
      </w:r>
    </w:p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t xml:space="preserve">Hızlı oktav çalmak için elin, kolun, bileğin </w:t>
      </w:r>
      <w:proofErr w:type="gramStart"/>
      <w:r w:rsidRPr="00620BDA">
        <w:rPr>
          <w:sz w:val="22"/>
          <w:szCs w:val="22"/>
        </w:rPr>
        <w:t>maksimal</w:t>
      </w:r>
      <w:proofErr w:type="gramEnd"/>
      <w:r w:rsidRPr="00620BDA">
        <w:rPr>
          <w:sz w:val="22"/>
          <w:szCs w:val="22"/>
        </w:rPr>
        <w:t xml:space="preserve"> şekilde rahat ve serbest, ayrıca da ekonomik hareketler ile olması gerekir. Ön kolun, bileğin esnekliği, tutuşu çok önemlidir. </w:t>
      </w:r>
    </w:p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t xml:space="preserve">Ses kalitesi ve dinamik </w:t>
      </w:r>
      <w:proofErr w:type="gramStart"/>
      <w:r w:rsidRPr="00620BDA">
        <w:rPr>
          <w:sz w:val="22"/>
          <w:szCs w:val="22"/>
        </w:rPr>
        <w:t>nüansların</w:t>
      </w:r>
      <w:proofErr w:type="gramEnd"/>
      <w:r w:rsidRPr="00620BDA">
        <w:rPr>
          <w:sz w:val="22"/>
          <w:szCs w:val="22"/>
        </w:rPr>
        <w:t xml:space="preserve"> doğru yerleşmesi ve akışına da dikkat etmek gerekir. Yoğun forte için kolun omuzdan kullanılması çok önemlidir. Hafiflik sağlamak için ise kasılmamak şarttır. Hızlı tempoda hafif pedal kullanımı ile </w:t>
      </w:r>
      <w:r w:rsidRPr="00620BDA">
        <w:rPr>
          <w:i/>
          <w:sz w:val="22"/>
          <w:szCs w:val="22"/>
        </w:rPr>
        <w:t>crescendo’larda</w:t>
      </w:r>
      <w:r w:rsidRPr="00620BDA">
        <w:rPr>
          <w:sz w:val="22"/>
          <w:szCs w:val="22"/>
        </w:rPr>
        <w:t xml:space="preserve"> dolu, yoğun tını gelir. Böylece eller de kasılmaz ve yorulmaz. Üçleme oktavlarda ilk notayı ağır, belirgin, diğer ikisini ise hafifletmek gerekir. </w:t>
      </w:r>
    </w:p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t xml:space="preserve">Ayrıca ellerin yorulmaması ve gerilmemesi için sağ ve sol eller arasındaki dinamik ayar da çok önemlidir. </w:t>
      </w:r>
    </w:p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t xml:space="preserve">Sol elde melodik geçişler olunca sağ eli hafifletme iyi olur. </w:t>
      </w:r>
    </w:p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 w:rsidRPr="00620BDA">
        <w:rPr>
          <w:sz w:val="22"/>
          <w:szCs w:val="22"/>
        </w:rPr>
        <w:t xml:space="preserve">Oktav pasajlarda rahatlık için birkaç yerde mantıklı düşünerek gruplara da bölünebilir. Mesela </w:t>
      </w:r>
      <w:proofErr w:type="spellStart"/>
      <w:r w:rsidRPr="00620BDA">
        <w:rPr>
          <w:i/>
          <w:sz w:val="22"/>
          <w:szCs w:val="22"/>
        </w:rPr>
        <w:t>con</w:t>
      </w:r>
      <w:proofErr w:type="spellEnd"/>
      <w:r w:rsidRPr="00620BDA">
        <w:rPr>
          <w:i/>
          <w:sz w:val="22"/>
          <w:szCs w:val="22"/>
        </w:rPr>
        <w:t xml:space="preserve"> </w:t>
      </w:r>
      <w:proofErr w:type="spellStart"/>
      <w:r w:rsidRPr="00620BDA">
        <w:rPr>
          <w:i/>
          <w:sz w:val="22"/>
          <w:szCs w:val="22"/>
        </w:rPr>
        <w:t>bravura</w:t>
      </w:r>
      <w:proofErr w:type="spellEnd"/>
      <w:r w:rsidRPr="00620BDA">
        <w:rPr>
          <w:sz w:val="22"/>
          <w:szCs w:val="22"/>
        </w:rPr>
        <w:t xml:space="preserve"> terimi olan ölçüde eskitilmiş yedili </w:t>
      </w:r>
      <w:proofErr w:type="spellStart"/>
      <w:r w:rsidRPr="00620BDA">
        <w:rPr>
          <w:sz w:val="22"/>
          <w:szCs w:val="22"/>
        </w:rPr>
        <w:t>akoru</w:t>
      </w:r>
      <w:proofErr w:type="spellEnd"/>
      <w:r w:rsidRPr="00620BDA">
        <w:rPr>
          <w:sz w:val="22"/>
          <w:szCs w:val="22"/>
        </w:rPr>
        <w:t xml:space="preserve"> ikiye bölme tavsiye edilebilir. Tabii ki, ritim ve ölçü değeri bozulmamalıdır. </w:t>
      </w:r>
    </w:p>
    <w:p w:rsidR="00311512" w:rsidRPr="00620BDA" w:rsidRDefault="00311512" w:rsidP="00311512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proofErr w:type="spellStart"/>
      <w:r w:rsidRPr="00620BDA">
        <w:rPr>
          <w:sz w:val="22"/>
          <w:szCs w:val="22"/>
        </w:rPr>
        <w:t>İnstruktif</w:t>
      </w:r>
      <w:proofErr w:type="spellEnd"/>
      <w:r w:rsidRPr="00620BDA">
        <w:rPr>
          <w:sz w:val="22"/>
          <w:szCs w:val="22"/>
        </w:rPr>
        <w:t xml:space="preserve">/teknik eğitici etütlerden farklı olarak bu tür etütlerde pedal kullanımı sakıncalı değildir. </w:t>
      </w:r>
    </w:p>
    <w:p w:rsidR="00987CF8" w:rsidRPr="00311512" w:rsidRDefault="00987CF8" w:rsidP="00311512"/>
    <w:sectPr w:rsidR="00987CF8" w:rsidRPr="00311512" w:rsidSect="00976E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4908"/>
    <w:rsid w:val="00311512"/>
    <w:rsid w:val="005F25DE"/>
    <w:rsid w:val="00987CF8"/>
    <w:rsid w:val="00994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CF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9949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94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949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Kullanıcı</dc:creator>
  <cp:keywords/>
  <dc:description/>
  <cp:lastModifiedBy>Kullanıcı</cp:lastModifiedBy>
  <cp:revision>3</cp:revision>
  <dcterms:created xsi:type="dcterms:W3CDTF">2019-01-15T10:34:00Z</dcterms:created>
  <dcterms:modified xsi:type="dcterms:W3CDTF">2019-01-15T10:35:00Z</dcterms:modified>
</cp:coreProperties>
</file>