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الكتاب: المصنف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المؤلف: أبو بكر عبد الرزاق بن همام بن نافع الحميري اليماني الصنعاني (المتوفى: 211هـ)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المحقق: حبيب الرحمن الأعظمي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الناشر: المجلس العلمي- الهند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يطلب من: المكتب الإسلامي - بيروت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الطبعة: الثانية، 1403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عدد الأجزاء: 11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8804BD">
        <w:rPr>
          <w:rFonts w:ascii="Traditional Arabic" w:hAnsi="Traditional Arabic" w:cs="Traditional Arabic"/>
          <w:b/>
          <w:bCs/>
          <w:sz w:val="32"/>
          <w:szCs w:val="32"/>
          <w:rtl/>
        </w:rPr>
        <w:t>[ترقيم الكتاب موافق للمطبوع، وهو ضمن خدمة التخريج]</w:t>
      </w:r>
    </w:p>
    <w:p w:rsidR="008804BD" w:rsidRPr="008804BD" w:rsidRDefault="008804BD" w:rsidP="008804B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8804BD" w:rsidRPr="008804BD" w:rsidRDefault="008804BD" w:rsidP="008804B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</w:p>
    <w:p w:rsidR="008804BD" w:rsidRPr="008804BD" w:rsidRDefault="008804BD" w:rsidP="00880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880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Abdurrazzâk</w:t>
      </w:r>
      <w:proofErr w:type="spellEnd"/>
      <w:r w:rsidRPr="00880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es-</w:t>
      </w:r>
      <w:proofErr w:type="spellStart"/>
      <w:r w:rsidRPr="00880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San‘ânî</w:t>
      </w:r>
      <w:proofErr w:type="spellEnd"/>
      <w:r w:rsidRPr="008804B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(ö. 211/826-27)</w:t>
      </w: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Ebû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Bekr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Hemmâm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Nâfi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‘ es-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San‘ânî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126/744 yılında Yemen’in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San‘â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şehrinde doğdu.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eyahatlerinde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Ma‘mer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Râşid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Sufyân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Uyeyne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Mâlik b. Enes gibi dönemin önde gelen âlimleriyle görüştü, onlardan hadis rivayet etti. En önemli hocası olan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Ma‘mer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Râşid’in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yanında yaklaşık sekiz sene kaldığı ve ondan on bin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kadar hadis yazdığı belirtilir.</w:t>
      </w:r>
    </w:p>
    <w:p w:rsid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Abdurrazzâk’ın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Hz. Ali’ye olan muhabbeti, onu katledenlere karşı kızgınlığını açıkça izhar etmesi ve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Ehl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Beyt’in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faziletine dair rivayetler nakletmesi nedeniyle onu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Şiîlikle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itham edenler olmuştur. </w:t>
      </w: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dönemde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teşeyyu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‘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Şiîlik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ithamlarıyla kastedilen anlam çerçevesi, sonraki dönemlerde gelişen ve kurumsallaşan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Şiîlikten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farklı bir içeriğe sahipti. Hz. Ali’ye ve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Ehl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Beyt’e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sevgi ve muhabbetini açıkça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ızhar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eden ve bunu daha vurgulu bir şekilde dile getiren ‘Sünnî’ muhaddislerin de bu tür ithamlarla karşılaşma nedenleri muhtemelen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Şiîliğin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erken dönem farklı kullanımla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ından kaynaklanmaktaydı. Bu tür ithamların siyasî ve ideolojik sebeplerinin de olduğu ayrıca düşünülmelidir. Benzer bir durum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de geçerlidir. Nitekim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Ahmed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Hanbel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Yahya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Ma‘în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ileri sürülen bu ithamları reddetmiş, onun hadis ilmindeki değerini dile getirmişlerdir.</w:t>
      </w: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ömrünün sonlarına doğru (h. 200’lerde) gözlerini kaybetti. Önceleri kitabında yer almayan bazı hadislerin, bundan sonra kendisinden rivayet edildiği söylenmiştir. Bu nedenle,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Ahmed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Hanbel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Nesâî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daha sonra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İbnu’s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-Salâh (ö. 643/1245) gibi muhaddisler, gözlerini kaybettikten sonra kendisinden duyulan rivayetler hakkında ihtiyatlı olunması gerektiğini dile getirmişlerdir.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, 85 yaşlarında iken 211/826-27 yılında vefat etmiştir.</w:t>
      </w:r>
    </w:p>
    <w:p w:rsidR="008804BD" w:rsidRPr="008804BD" w:rsidRDefault="008804BD" w:rsidP="008804B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bidi="en-US"/>
        </w:rPr>
      </w:pPr>
    </w:p>
    <w:p w:rsidR="008804BD" w:rsidRPr="008804BD" w:rsidRDefault="008804BD" w:rsidP="008804BD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bidi="en-US"/>
        </w:rPr>
      </w:pPr>
      <w:r w:rsidRPr="008804BD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bidi="en-US"/>
        </w:rPr>
        <w:t>El-</w:t>
      </w:r>
      <w:proofErr w:type="spellStart"/>
      <w:r w:rsidRPr="008804BD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bidi="en-US"/>
        </w:rPr>
        <w:t>Musannef</w:t>
      </w:r>
      <w:proofErr w:type="spellEnd"/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Tam adı </w:t>
      </w:r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el-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Musannef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fi’l-Hadîs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Abdurrazzâk’ın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meşhur eseri, hicrî II. asrın en önemli eserlerindendir. Fıkıh mezheplerinin teşekkülünden önceki hadis malzemesini ve çalışmalarını ihtiva eden eser, hadis </w:t>
      </w:r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tedvin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döneminin karakteristik 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özelliklerini taşıyan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musannef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türü kitapların en güzel örneklerindendir. Başta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Kutub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-i Sitte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pek çok kaynak,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Musannef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’ten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iktibaslarda bulunmuştur.</w:t>
      </w: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Daha çok fıkıh konularına göre tasnif edilen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Musannef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, “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Kitâbu’l-Meğâzî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” ve “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Kitâbu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Ehli’l-Kitâb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gibi farklı konu başlıkları ve rivayetleri de içerir. Ayrıca, sadece Hz. Peygamber’den gelen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merfû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‘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hadisleri değil,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mevkûf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maktû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‘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rivayetleri de ihtiva eder; bu hadisler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musned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mursel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munkatı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’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olabilmektedir. Eserin birinci baskısına göre 2133 bâb (alt başlık) ve 19.418 rivayet yer alır (eserin sonunda yer alan, hocası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Ma‘mer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Râşid’in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el-Câmi‘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isimli kitabı </w:t>
      </w:r>
      <w:proofErr w:type="gram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edildiğinde toplam 21.033 rivayet vardır). Bunlardan ancak dörtte biri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merfû</w:t>
      </w:r>
      <w:proofErr w:type="spellEnd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‘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hadistir (yaklaşık 4 bin hadis).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Abdurrazzâk’ın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eserini oluştururken büyük oranda hocalarının yazılı kaynaklarından istifade ettiği anlaşılmaktadır. </w:t>
      </w:r>
      <w:proofErr w:type="spellStart"/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Musannef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’teki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rivayetlerin büyük bir kısmı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Ma‘mer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Râşid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İbn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Cureyc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Sufyân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es-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Sevrî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İbn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Uyeyne’den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aldığı hadislerden oluşmaktadır ki bu dört hocasından aldığı rivayetler eserinin yaklaşık %85’ini oluşturur. Bu hocalarının hepsinin kendilerine ait hadis eserleri vardır.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Abdurrazzâk’ın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, eserini oluştururken büyük oranda bu hocalarının eserlerinden yararlandığı anlaşılmaktadır.</w:t>
      </w:r>
    </w:p>
    <w:p w:rsidR="008804BD" w:rsidRPr="008804BD" w:rsidRDefault="008804BD" w:rsidP="0088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Eser ilk defa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Habîburrahmân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el-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A‘zamî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İstanbul, Mısır ve Suriye’deki farklı nüshaları karşılaştırılarak neşredilmiştir (I-XI, Beyrut, 1971-75). Bu baskının X. cildinin 379. sayfasından sonrası ile XI. cildin tamamı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Ma‘mer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b. </w:t>
      </w:r>
      <w:proofErr w:type="spellStart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>Râşid’in</w:t>
      </w:r>
      <w:proofErr w:type="spellEnd"/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804BD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el-Câmi‘</w:t>
      </w:r>
      <w:r w:rsidRPr="008804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isimli eseri yer alır. </w:t>
      </w:r>
    </w:p>
    <w:p w:rsidR="008804BD" w:rsidRPr="008804BD" w:rsidRDefault="008804BD" w:rsidP="008804BD">
      <w:pPr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bookmarkStart w:id="0" w:name="_GoBack"/>
      <w:bookmarkEnd w:id="0"/>
    </w:p>
    <w:p w:rsidR="008804BD" w:rsidRPr="008804BD" w:rsidRDefault="008804BD" w:rsidP="008804BD">
      <w:pPr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</w:p>
    <w:p w:rsidR="008804BD" w:rsidRPr="008804BD" w:rsidRDefault="008804BD" w:rsidP="008804BD">
      <w:pPr>
        <w:bidi/>
        <w:spacing w:before="100" w:beforeAutospacing="1" w:after="100" w:afterAutospacing="1" w:line="240" w:lineRule="auto"/>
        <w:ind w:left="-58"/>
        <w:rPr>
          <w:rFonts w:ascii="Traditional Arabic" w:eastAsia="Times New Roman" w:hAnsi="Traditional Arabic" w:cs="Traditional Arabic"/>
          <w:b/>
          <w:bCs/>
          <w:i/>
          <w:iCs/>
          <w:color w:val="0000FF"/>
          <w:sz w:val="32"/>
          <w:szCs w:val="32"/>
          <w:rtl/>
          <w:lang w:eastAsia="tr-TR" w:bidi="ar"/>
        </w:rPr>
      </w:pP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t>كِتَابُ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tr-TR" w:bidi="ar"/>
        </w:rPr>
        <w:t xml:space="preserve"> 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t>الصِّيَامِ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بِسْمِ اللَّهِ الرَّحْمَنِ الرَّحِيمِ</w:t>
      </w:r>
    </w:p>
    <w:p w:rsidR="008804BD" w:rsidRPr="008804BD" w:rsidRDefault="008804BD" w:rsidP="008804BD">
      <w:pPr>
        <w:bidi/>
        <w:spacing w:after="0" w:line="240" w:lineRule="auto"/>
        <w:ind w:left="-58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tr-TR" w:bidi="ar"/>
        </w:rPr>
      </w:pPr>
    </w:p>
    <w:p w:rsidR="008804BD" w:rsidRPr="008804BD" w:rsidRDefault="008804BD" w:rsidP="008804BD">
      <w:pPr>
        <w:bidi/>
        <w:spacing w:before="100" w:beforeAutospacing="1" w:after="100" w:afterAutospacing="1" w:line="240" w:lineRule="auto"/>
        <w:ind w:left="-58"/>
        <w:rPr>
          <w:rFonts w:eastAsia="Times New Roman" w:cs="Traditional Arabic"/>
          <w:b/>
          <w:bCs/>
          <w:i/>
          <w:iCs/>
          <w:color w:val="0000FF"/>
          <w:sz w:val="32"/>
          <w:szCs w:val="32"/>
          <w:lang w:eastAsia="tr-TR" w:bidi="ar"/>
        </w:rPr>
      </w:pP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t>بَابُ مَتَى يُؤْمَرُ الصَّبِيُّ بِالصِّيَامِ</w:t>
      </w:r>
    </w:p>
    <w:p w:rsidR="008804BD" w:rsidRPr="008804BD" w:rsidRDefault="008804BD" w:rsidP="008804BD">
      <w:pPr>
        <w:bidi/>
        <w:spacing w:before="100" w:beforeAutospacing="1" w:after="100" w:afterAutospacing="1" w:line="240" w:lineRule="auto"/>
        <w:ind w:left="-58"/>
        <w:rPr>
          <w:rFonts w:ascii="Traditional Arabic" w:eastAsia="Times New Roman" w:hAnsi="Traditional Arabic" w:cs="Traditional Arabic"/>
          <w:b/>
          <w:bCs/>
          <w:i/>
          <w:iCs/>
          <w:color w:val="0000FF"/>
          <w:sz w:val="32"/>
          <w:szCs w:val="32"/>
          <w:lang w:eastAsia="tr-TR" w:bidi="ar"/>
        </w:rPr>
      </w:pP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t>7290 - أَخْبَرَنَا أَبُو سَعِيدٍ أَحْمَدُ بْنُ مُحَمَّدِ بْنِ زِيَادٍ الْأَعْرَابِيُّ قَالَ: أَخْبَرَنَا إِسْحَاقُ بْنُ إِبْرَاهِيمَ بْنِ عَبَّادِ الدِّبَرِيُّ قَالَ: قَرَأْنَا عَلَى عَبْدِ الرَّزَّاقِ بْنِ هَمَّامٍ، عَنْ مَعْمَرٍ، عَنْ أَيُّوبَ، عَنِ ابْنِ سِيرِينَ قَالَ: «يُؤْمَرُ الصَّبِيُّ بِالصَّلَاةِ إِذَا عَرَفَ يَمِينَهُ مِنْ شِمَالْهِ، وَبِالصَّوْمِ إِذَا أَطَاقَهُ»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7291 - عَنِ الثَّوْرِيِّ، عَنْ خَالِدٍ، عَنِ ابْنِ سِيرِينَ مِثْلَهُ، عَبْدُ الرَّزَّاقِ،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7292 - عَنْ مَعْمَرٍ، عَنِ الزُّهْرِيِّ، وَقَتَادَةَ مِثْلَهُ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7293 - عَنِ ابْنِ جُرَيْجٍ، وَمَعْمَرٌ، عَنْ هِشَامِ بْنِ عُرْوَةَ قَالَ: «كَانَ أَبِي يَأْمُرُ الصِّبْيَانَ بِالصَّلَاةِ إِذَا عَقَلُوهَا، وَالصِّيَامِ إِذَا أَطَاقُوهُ»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7294 - عَبْدُ الرَّزَّاقِ قَالَ: أَخْبَرَنَا ابْنُ جُرَيْجٍ، عَنْ عَطَاءٍ قَالَ: «يُؤْمَرُ الْغُلَامُ بِالصَّلَاةِ قَبْلَ الصِّيَامِ لِأَنَّ الصَّلَاةَ هِيَ أَهْوَنُ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lastRenderedPageBreak/>
        <w:t>7295 - عَنِ الثَّوْرِيِّ، عَنْ أَبِي رَجَاءٍ، عَنْ مَكْحُولٍ قَالَ: «يُضْرَبُ عَلَيْهَا لِعَشْرِ سِنِينَ، وَيُؤْمَرُ بِهَا لِسَبْعِ سِنِينَ»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7296 - عَنِ الثَّوْرِيِّ، عَنْ مُغِيرَةَ، عَنْ إِبْرَاهِيمَ قَالَ: «كَانَ يُؤْمَرُ الصَّبِيُّ بِالصَّلَاةِ إِذَا أَثْغَرَ»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7297 - عَنِ الثَّوْرِيِّ، عَنْ مَرْزُوقٍ قَالَ: سَأَلْتُ ابْنَ الْمُسَيِّبِ مَتَى تُكْتَبُ عَلَى الْجَارِيَةِ الصَّلَاةُ؟ قَالَ: «إِذَا حَاضَتْ» قَالَ: قُلْتُ: فَالْغُلَامُ؟ قَالَ: «إِذَا احْتَلَمَ»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7298 - عَنِ ابْنِ الْمُبَارَكِ قَالَ: حَدَّثَنِي حُسَيْنُ بْنُ عَبْدِ اللَّهِ قَالَ: حَدَّثَنِي أُمُّ يَاسِينَ خَادِمُ ابْنِ عَبَّاسٍ، أَنَّ ابْنِ عَبَّاسٍ كَانَ يَقُولُ: «أَيْقِظُوا الصَّبِيَّ يُصَلِّي، وَلَوْ بِسَجْدَةٍ»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7299 - عَنِ الثَّوْرِيِّ، عَنِ الْأَعْمَشِ، عَنْ عُمَارَةَ، عَنْ أَبِي الْأَحْوَصِ قَالَ: قَالَ عَبْدُ اللَّهِ: «حَافِظُوا عَلَى أَبْنَائِكُمْ فِي الصَّلَاةِ»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7300 - عَنِ ابْنِ جُرَيْجٍ، عَنِ مُحَمَّدِ بْنِ عَبْدِ الرَّحْمَنِ بْنِ لُبَيْبَةَ، عَنْ جَدِّهِ، أَنَّ النَّبِيَّ صَلَّى اللهُ عَلَيْهِ وَسَلَّمَ قَالَ: «إِذَا صَامَ الْغُلَامُ ثَلَاثَةَ أَيَّامٍ مُتَتَابِعَةً، فَقَدْ وَجَبَ عَلَيْهِ صِيَامُ شَهْرِ رَمَضَانَ»</w:t>
      </w:r>
    </w:p>
    <w:p w:rsidR="008804BD" w:rsidRPr="008804BD" w:rsidRDefault="008804BD" w:rsidP="008804BD">
      <w:pPr>
        <w:bidi/>
        <w:spacing w:before="100" w:beforeAutospacing="1" w:after="100" w:afterAutospacing="1" w:line="240" w:lineRule="auto"/>
        <w:ind w:left="-58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tr-TR" w:bidi="ar"/>
        </w:rPr>
      </w:pP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t>بَابُ الصِّيَامِ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7301 - عَنِ ابْنِ جُرَيْجٍ، عَنْ عَطَاءٍ، أَنَّ النَّبِيَّ صَلَّى اللهُ عَلَيْهِ وَسَلَّمَ قَالَ: «إِنْ لَمْ تَرَوْا هِلَالَ رَمَضَانَ فَاسْتَكْمِلُوا شَعْبَانَ ثَلَاثِينَ يَوْمًا، وَإِنْ لَمْ تَرَوْا هِلَالَ شَوَّالٍّ، فَاسْتَكْمِلُوا رَمَضَانَ ثَلَاثِينَ يَوْمًا»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7302 - عَنِ ابْنِ جُرَيْجٍ، عَنْ عَمْرِو بْنِ دِينَارٍ، أَنَّهُ سَمِعَ مُحَمَّدَ بْنَ حُنَيْنٍ يَقُولُ: كَانَ ابْنُ عَبَّاسٍ يُنْكِرُ إِنْ يَتَقَدَّمَ فِي صِيَامِ رَمَضَانَ إِذَا لَمْ يَرَوُا الْهِلَالَ هِلَالَ شَهْرِ رَمَضَانَ، وَيَقُولُ: قَالَ رَسُولُ اللَّهِ صَلَّى اللهُ عَلَيْهِ وَسَلَّمَ: «إِذَا لَمْ تَرَوُا الْهِلَالَ فَأَكْمِلُوا ثَلَاثِينَ يَوْمًا»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7303 - عَنِ ابْنِ جُرَيْجٍ، عَنْ رَجُلٍ، عَنِ الْحَسَنِ، أَنَّ النَّبِيَّ صَلَّى اللهُ عَلَيْهِ وَسَلَّمَ قَالَ: «أَحْصُوا هِلَالَ شَعْبَانَ لِرُؤْيَةِ شَهْرِ رَمَضَانَ، فَإِذَا رَأَيْتُمُوهُ، فَصُومُوا، ثُمَّ إِذَا رَأَيْتُمُوهُ، فَأَفْطِرُوا، فَإِنْ غُمَّ عَلَيْكُمْ فَأَكْمِلُوا الْعِدَّةَ»</w:t>
      </w:r>
    </w:p>
    <w:p w:rsidR="008804BD" w:rsidRPr="008804BD" w:rsidRDefault="008804BD" w:rsidP="008804BD">
      <w:pPr>
        <w:bidi/>
        <w:spacing w:before="100" w:beforeAutospacing="1" w:after="100" w:afterAutospacing="1" w:line="240" w:lineRule="auto"/>
        <w:ind w:left="-58"/>
        <w:rPr>
          <w:rFonts w:ascii="Traditional Arabic" w:eastAsia="Times New Roman" w:hAnsi="Traditional Arabic" w:cs="Traditional Arabic"/>
          <w:b/>
          <w:bCs/>
          <w:i/>
          <w:iCs/>
          <w:color w:val="0000FF"/>
          <w:sz w:val="32"/>
          <w:szCs w:val="32"/>
          <w:rtl/>
          <w:lang w:eastAsia="tr-TR" w:bidi="ar"/>
        </w:rPr>
      </w:pP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tr-TR" w:bidi="ar"/>
        </w:rPr>
        <w:t>…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7308 - عَنِ الثَّوْرِيِّ، عَنْ حُمَيْدٍ قَالَ: حَدَّثَنَا الْوَلِيدُ بْنُ عُتْبَةَ اللَّيْثِيُّ قَالَ: «صُمْنَا مَعَ عَلِيٍّ ثَمَانٍ وَعِشْرِينَ يَوْمًا، فَأَمَرَنَا يَوْمَ الْفِطْرِ أنْ نَقْضِيَ يَوْمًا»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 xml:space="preserve">7309 - عَنِ الثَّوْرِيِّ، عَنْ جَابِرٍ، عَنِ الشَّعْبِيِّ قَالَ: «مَا صُمْتُ تِسْعًا وَعِشْرِينَ أَكْثَرَ مِمَّا صُمْتُ 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lastRenderedPageBreak/>
        <w:t>ثَلَاثِينَ»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7310 - عَنْ مَعْمَرٍ، عَنْ جَعْفَرِ بْنِ بُرْقَانَ، عَنِ الْحَكَمِ، أَوْ غَيْرِهِ، عَنْ مَسْرُوقٍ، أَنَّهُ دَخَلَ هُوَ وَرَجُلٌ مَعْهُ عَلَى عَائِشَةَ يَوْمَ عَرَفَةَ فَقَالَتْ عَائِشَةُ: يَا جَارِيَةُ خُوضِي لَهُمَا سَوِيقًا، وَحَلِّيهِ فَلَوْلَا أَنِّي صَائِمَةٌ لَذُقْتُهُ، قَالَا: أَتَصُومِينَ يَا أُمَّ الْمُؤْمِنِينَ، وَلَا تَدْرِينَ لَعَلَّهُ يَوْمَ يَوْمِ النَّحْرِ، فَقَالَتْ: «إِنَّمَا النَّحْرُ إِذَا نَحَرَ الْإِمَامُ، وَعُظْمُ النَّاسِ، وَالْفِطْرُ إِذَا أَفْطَرَ الْإِمَامُ، وَعُظْمُ النَّاسِ»</w:t>
      </w:r>
    </w:p>
    <w:p w:rsidR="008804BD" w:rsidRPr="008804BD" w:rsidRDefault="008804BD" w:rsidP="008804BD">
      <w:pPr>
        <w:bidi/>
        <w:spacing w:after="0" w:line="240" w:lineRule="auto"/>
        <w:ind w:left="-5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tr-TR" w:bidi="ar"/>
        </w:rPr>
      </w:pPr>
    </w:p>
    <w:p w:rsidR="00FA6A2C" w:rsidRPr="008804BD" w:rsidRDefault="008804BD" w:rsidP="008804BD">
      <w:pPr>
        <w:bidi/>
        <w:rPr>
          <w:rFonts w:ascii="Traditional Arabic" w:hAnsi="Traditional Arabic" w:cs="Traditional Arabic"/>
          <w:sz w:val="32"/>
          <w:szCs w:val="32"/>
        </w:rPr>
      </w:pP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t>بَابُ فَصْلِ مَا بَيْنَ رَمَضَانَ وَشَعْبَانَ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7311 - عَنِ ابْنِ جُرَيْجٍ قَالَ: أَخْبَرَنِي عَطَاءٌ قَالَ: كُنْتُ عِنْدَ ابْنِ عَبَّاسٍ قَبْلَ رَمَضَانَ بِيَوْمٍ أَوْ يَوْمَيْنِ، فَقَرُبَ غَدَاؤُهُ، فَقَالَ: «أَفْطِرُوَا أَيُّهَا الصُّيَّامُ لَا تُوَاصِلُوا رَمَضَانَ شَيْئًا، وَافْصِلُوا» قَالَ: «وَكَانَ ابْنُ عَبْدٍ الْقَارِيِّ صَائِمًا فَحَسِبْتُ أَنَّهُ أَفْطَرَ»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7312 - عَنِ ابْنِ جُرَيْجٍ قَالَ: أَخْبَرَنِي عَمْرُو بْنُ دِينَارٍ قَالَ: كَانَ ابْنُ عَبَّاسٍ «يَأْمُرُ بِفَصْلٍ بَيْنَهُمَا»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7313 - عَنِ ابْنِ جُرَيْجٍ، عَنْ عَطَاءٍ قَالَ: سَمِعْتُ أَبَا هُرَيْرَةَ يَقُولُ: «لَا تُوَاصِلُوا بِرَمَضَانَ شَيْئًا، وَافْصِلُوا»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7314 - عَنِ ابْنِ جُرَيْجٍ قَالَ: قُلْتُ لِعَطَاءٍ: أَيَكْفِيكَ يَوْمُ الْفِطْرِ إِنْ تَفْصِلَ بِهِ؟ قَالَ: «لَا» قَالَ: «أَيَّامًا قَبْلَهُ أَوْ بَعْدَهُ»</w:t>
      </w:r>
      <w:r w:rsidRPr="008804B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tr-TR" w:bidi="ar"/>
        </w:rPr>
        <w:br/>
        <w:t>7315 - قَالَ: أَخْبَرَنَا مَعْمَرٌ، عَنْ يَحْيَى بْنِ أَبِي كَثِيرٍ، عَنْ أَبِي سَلَمَةَ، عَنْ أَبِي هُرَيْرَةَ قَالَ: «نَهَى رَسُولُ اللَّهِ صَلَّى اللهُ عَلَيْهِ وَسَلَّمَ أَنْ يُتَعَجَّلَ شَهْرُ رَمَضَانَ بِصَوْمِ يَوْمٍ أَوْ يَوْمَيْنِ إِلَّا رَجُلٌ كَانَ يَصُومُ صَوْمًا فَيَأْتِي ذَلِكَ عَلَى صَوْمِهِ</w:t>
      </w:r>
    </w:p>
    <w:sectPr w:rsidR="00FA6A2C" w:rsidRPr="008804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81"/>
    <w:rsid w:val="00007EB6"/>
    <w:rsid w:val="000254B5"/>
    <w:rsid w:val="00031E04"/>
    <w:rsid w:val="00060652"/>
    <w:rsid w:val="00064B97"/>
    <w:rsid w:val="0006634C"/>
    <w:rsid w:val="0007109B"/>
    <w:rsid w:val="000B7FB1"/>
    <w:rsid w:val="000D0C21"/>
    <w:rsid w:val="000D2BA1"/>
    <w:rsid w:val="000D470A"/>
    <w:rsid w:val="000D5916"/>
    <w:rsid w:val="000E1F70"/>
    <w:rsid w:val="000E5060"/>
    <w:rsid w:val="000F1741"/>
    <w:rsid w:val="000F693D"/>
    <w:rsid w:val="00100AD7"/>
    <w:rsid w:val="00100ADB"/>
    <w:rsid w:val="001052F7"/>
    <w:rsid w:val="00106031"/>
    <w:rsid w:val="001231BF"/>
    <w:rsid w:val="00123BFC"/>
    <w:rsid w:val="00133466"/>
    <w:rsid w:val="001443AD"/>
    <w:rsid w:val="00176CA1"/>
    <w:rsid w:val="00187421"/>
    <w:rsid w:val="00191771"/>
    <w:rsid w:val="001931E8"/>
    <w:rsid w:val="0019352F"/>
    <w:rsid w:val="001A56F5"/>
    <w:rsid w:val="001B6CFE"/>
    <w:rsid w:val="001C43AA"/>
    <w:rsid w:val="001D4E52"/>
    <w:rsid w:val="001E4C09"/>
    <w:rsid w:val="001E5D6C"/>
    <w:rsid w:val="0021167E"/>
    <w:rsid w:val="00220407"/>
    <w:rsid w:val="00222978"/>
    <w:rsid w:val="00232092"/>
    <w:rsid w:val="00234CD0"/>
    <w:rsid w:val="00236730"/>
    <w:rsid w:val="002561DD"/>
    <w:rsid w:val="00261689"/>
    <w:rsid w:val="00262194"/>
    <w:rsid w:val="0026291E"/>
    <w:rsid w:val="00266FE3"/>
    <w:rsid w:val="00284891"/>
    <w:rsid w:val="00291081"/>
    <w:rsid w:val="00292F00"/>
    <w:rsid w:val="0029441C"/>
    <w:rsid w:val="002B2D92"/>
    <w:rsid w:val="002B5682"/>
    <w:rsid w:val="002C0333"/>
    <w:rsid w:val="002C16A6"/>
    <w:rsid w:val="002C4CC6"/>
    <w:rsid w:val="002D14E0"/>
    <w:rsid w:val="003047E0"/>
    <w:rsid w:val="00315560"/>
    <w:rsid w:val="003172D7"/>
    <w:rsid w:val="00320ECF"/>
    <w:rsid w:val="003354A2"/>
    <w:rsid w:val="00337E19"/>
    <w:rsid w:val="00337FC7"/>
    <w:rsid w:val="00351888"/>
    <w:rsid w:val="0035734E"/>
    <w:rsid w:val="00367AF4"/>
    <w:rsid w:val="00375D1C"/>
    <w:rsid w:val="00376C89"/>
    <w:rsid w:val="00390E95"/>
    <w:rsid w:val="003A1A9B"/>
    <w:rsid w:val="003A1D52"/>
    <w:rsid w:val="003A5397"/>
    <w:rsid w:val="003B3878"/>
    <w:rsid w:val="003C0211"/>
    <w:rsid w:val="003C1C57"/>
    <w:rsid w:val="003C5495"/>
    <w:rsid w:val="003D0496"/>
    <w:rsid w:val="003D303B"/>
    <w:rsid w:val="003D3A81"/>
    <w:rsid w:val="003D68B5"/>
    <w:rsid w:val="003F1C97"/>
    <w:rsid w:val="004001E4"/>
    <w:rsid w:val="004017F6"/>
    <w:rsid w:val="00406CCA"/>
    <w:rsid w:val="00411214"/>
    <w:rsid w:val="00422335"/>
    <w:rsid w:val="0042549F"/>
    <w:rsid w:val="0044059F"/>
    <w:rsid w:val="00444328"/>
    <w:rsid w:val="00471BEB"/>
    <w:rsid w:val="00473054"/>
    <w:rsid w:val="00481E9F"/>
    <w:rsid w:val="00493C6B"/>
    <w:rsid w:val="004A4FF1"/>
    <w:rsid w:val="004B0D7B"/>
    <w:rsid w:val="004D05CF"/>
    <w:rsid w:val="004D0B90"/>
    <w:rsid w:val="004D2DBE"/>
    <w:rsid w:val="004E31F4"/>
    <w:rsid w:val="00500A98"/>
    <w:rsid w:val="005018ED"/>
    <w:rsid w:val="005031D1"/>
    <w:rsid w:val="00503C2B"/>
    <w:rsid w:val="005154DD"/>
    <w:rsid w:val="00526963"/>
    <w:rsid w:val="0053624A"/>
    <w:rsid w:val="005511F2"/>
    <w:rsid w:val="0055241F"/>
    <w:rsid w:val="0055734C"/>
    <w:rsid w:val="005602F2"/>
    <w:rsid w:val="00567280"/>
    <w:rsid w:val="005948F9"/>
    <w:rsid w:val="005D2B9A"/>
    <w:rsid w:val="005E0DFF"/>
    <w:rsid w:val="005E5303"/>
    <w:rsid w:val="005E5ACF"/>
    <w:rsid w:val="005F22DB"/>
    <w:rsid w:val="005F3A44"/>
    <w:rsid w:val="005F5548"/>
    <w:rsid w:val="006015CE"/>
    <w:rsid w:val="00634269"/>
    <w:rsid w:val="00640763"/>
    <w:rsid w:val="00646D62"/>
    <w:rsid w:val="00647BBC"/>
    <w:rsid w:val="00667BB2"/>
    <w:rsid w:val="006A7073"/>
    <w:rsid w:val="006B389C"/>
    <w:rsid w:val="006B70D8"/>
    <w:rsid w:val="006C1547"/>
    <w:rsid w:val="006C644F"/>
    <w:rsid w:val="006E4BA6"/>
    <w:rsid w:val="00723759"/>
    <w:rsid w:val="00733914"/>
    <w:rsid w:val="00742EA9"/>
    <w:rsid w:val="00751EBF"/>
    <w:rsid w:val="007749E2"/>
    <w:rsid w:val="00790FBA"/>
    <w:rsid w:val="007A2A18"/>
    <w:rsid w:val="007A5357"/>
    <w:rsid w:val="007C09C7"/>
    <w:rsid w:val="007F3E8A"/>
    <w:rsid w:val="008101B4"/>
    <w:rsid w:val="008127EE"/>
    <w:rsid w:val="00813FDB"/>
    <w:rsid w:val="0082194A"/>
    <w:rsid w:val="00826F4D"/>
    <w:rsid w:val="00831D0A"/>
    <w:rsid w:val="00835C0A"/>
    <w:rsid w:val="00841277"/>
    <w:rsid w:val="00846328"/>
    <w:rsid w:val="00862E71"/>
    <w:rsid w:val="00863B1E"/>
    <w:rsid w:val="008804BD"/>
    <w:rsid w:val="008841B5"/>
    <w:rsid w:val="0089363B"/>
    <w:rsid w:val="008A1A2E"/>
    <w:rsid w:val="008B27DD"/>
    <w:rsid w:val="008B6575"/>
    <w:rsid w:val="008C70AA"/>
    <w:rsid w:val="009075CC"/>
    <w:rsid w:val="009178FB"/>
    <w:rsid w:val="009363A5"/>
    <w:rsid w:val="00960BC7"/>
    <w:rsid w:val="00964E48"/>
    <w:rsid w:val="00967F31"/>
    <w:rsid w:val="009752C7"/>
    <w:rsid w:val="00975794"/>
    <w:rsid w:val="00985ED4"/>
    <w:rsid w:val="00987839"/>
    <w:rsid w:val="009A362B"/>
    <w:rsid w:val="009A4F6D"/>
    <w:rsid w:val="009B3843"/>
    <w:rsid w:val="009C2531"/>
    <w:rsid w:val="009D4843"/>
    <w:rsid w:val="009E343B"/>
    <w:rsid w:val="00A00271"/>
    <w:rsid w:val="00A062C3"/>
    <w:rsid w:val="00A20A7C"/>
    <w:rsid w:val="00A41688"/>
    <w:rsid w:val="00A8163D"/>
    <w:rsid w:val="00A82555"/>
    <w:rsid w:val="00A8347D"/>
    <w:rsid w:val="00A85E5F"/>
    <w:rsid w:val="00A911E3"/>
    <w:rsid w:val="00A921AF"/>
    <w:rsid w:val="00A9626B"/>
    <w:rsid w:val="00AA75C3"/>
    <w:rsid w:val="00AB0FE4"/>
    <w:rsid w:val="00AB6959"/>
    <w:rsid w:val="00AC71E1"/>
    <w:rsid w:val="00AD1DC2"/>
    <w:rsid w:val="00AD4578"/>
    <w:rsid w:val="00AE5AD5"/>
    <w:rsid w:val="00B07F8A"/>
    <w:rsid w:val="00B10C8C"/>
    <w:rsid w:val="00B31F6B"/>
    <w:rsid w:val="00B34E86"/>
    <w:rsid w:val="00B3676F"/>
    <w:rsid w:val="00B458EE"/>
    <w:rsid w:val="00B45E31"/>
    <w:rsid w:val="00B4755E"/>
    <w:rsid w:val="00B65602"/>
    <w:rsid w:val="00B727ED"/>
    <w:rsid w:val="00B82CDF"/>
    <w:rsid w:val="00B9056E"/>
    <w:rsid w:val="00B95C60"/>
    <w:rsid w:val="00BA4C7D"/>
    <w:rsid w:val="00BB446C"/>
    <w:rsid w:val="00BB4810"/>
    <w:rsid w:val="00BE0481"/>
    <w:rsid w:val="00BE60A5"/>
    <w:rsid w:val="00BF418B"/>
    <w:rsid w:val="00BF564B"/>
    <w:rsid w:val="00C14F6B"/>
    <w:rsid w:val="00C420E2"/>
    <w:rsid w:val="00C50887"/>
    <w:rsid w:val="00C64974"/>
    <w:rsid w:val="00C742D8"/>
    <w:rsid w:val="00C81ECE"/>
    <w:rsid w:val="00C826D6"/>
    <w:rsid w:val="00C93F35"/>
    <w:rsid w:val="00CA78B9"/>
    <w:rsid w:val="00CB1366"/>
    <w:rsid w:val="00CC71E4"/>
    <w:rsid w:val="00CD67B9"/>
    <w:rsid w:val="00CD7C0A"/>
    <w:rsid w:val="00CF160A"/>
    <w:rsid w:val="00CF26E5"/>
    <w:rsid w:val="00D0294D"/>
    <w:rsid w:val="00D02959"/>
    <w:rsid w:val="00D07BF4"/>
    <w:rsid w:val="00D345CC"/>
    <w:rsid w:val="00D4328F"/>
    <w:rsid w:val="00D61A2A"/>
    <w:rsid w:val="00D65390"/>
    <w:rsid w:val="00D823B2"/>
    <w:rsid w:val="00D91E00"/>
    <w:rsid w:val="00D95A1E"/>
    <w:rsid w:val="00D95D0B"/>
    <w:rsid w:val="00D97903"/>
    <w:rsid w:val="00DA010C"/>
    <w:rsid w:val="00DA1104"/>
    <w:rsid w:val="00DA4A84"/>
    <w:rsid w:val="00DC0596"/>
    <w:rsid w:val="00DC164E"/>
    <w:rsid w:val="00DF6755"/>
    <w:rsid w:val="00E00C47"/>
    <w:rsid w:val="00E04318"/>
    <w:rsid w:val="00E046BA"/>
    <w:rsid w:val="00E21C03"/>
    <w:rsid w:val="00E73029"/>
    <w:rsid w:val="00EA5D05"/>
    <w:rsid w:val="00EB03E4"/>
    <w:rsid w:val="00EB42B3"/>
    <w:rsid w:val="00ED09B3"/>
    <w:rsid w:val="00ED551A"/>
    <w:rsid w:val="00ED62B8"/>
    <w:rsid w:val="00EF0CE3"/>
    <w:rsid w:val="00EF3565"/>
    <w:rsid w:val="00EF6604"/>
    <w:rsid w:val="00F16AD7"/>
    <w:rsid w:val="00F171D8"/>
    <w:rsid w:val="00F30FFA"/>
    <w:rsid w:val="00F3151E"/>
    <w:rsid w:val="00F73938"/>
    <w:rsid w:val="00F92116"/>
    <w:rsid w:val="00F9639B"/>
    <w:rsid w:val="00FA6A2C"/>
    <w:rsid w:val="00FA7808"/>
    <w:rsid w:val="00FB5CB1"/>
    <w:rsid w:val="00FC41DA"/>
    <w:rsid w:val="00FC7B36"/>
    <w:rsid w:val="00FD14DA"/>
    <w:rsid w:val="00FE3A07"/>
    <w:rsid w:val="00FE503D"/>
    <w:rsid w:val="00FE5109"/>
    <w:rsid w:val="00FF1065"/>
    <w:rsid w:val="00FF3177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2015-02-18T14:33:00Z</dcterms:created>
  <dcterms:modified xsi:type="dcterms:W3CDTF">2015-02-18T14:37:00Z</dcterms:modified>
</cp:coreProperties>
</file>