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47F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CGL416 ÇOCUK VE HUKUK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Tuğçe ORAL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447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Çocukların özel durumları sebebiyle hukukta sistemindeki yerleri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447F1" w:rsidP="00D447F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Çocuk gelişimi bölümü</w:t>
            </w:r>
            <w:r w:rsidR="005429F2">
              <w:rPr>
                <w:szCs w:val="16"/>
              </w:rPr>
              <w:t xml:space="preserve"> öğrencilerinin mesleklerinin gerektirdiği hususlarda </w:t>
            </w:r>
            <w:r>
              <w:rPr>
                <w:szCs w:val="16"/>
              </w:rPr>
              <w:t xml:space="preserve">çocuk ve hukuk konusunda </w:t>
            </w:r>
            <w:r w:rsidR="005429F2">
              <w:rPr>
                <w:szCs w:val="16"/>
              </w:rPr>
              <w:t>aydınlat</w:t>
            </w:r>
            <w:r>
              <w:rPr>
                <w:szCs w:val="16"/>
              </w:rPr>
              <w:t>ıl</w:t>
            </w:r>
            <w:r w:rsidR="005429F2">
              <w:rPr>
                <w:szCs w:val="16"/>
              </w:rPr>
              <w:t>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429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447F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Rona </w:t>
            </w:r>
            <w:proofErr w:type="spellStart"/>
            <w:r>
              <w:rPr>
                <w:szCs w:val="16"/>
                <w:lang w:val="tr-TR"/>
              </w:rPr>
              <w:t>Serozan</w:t>
            </w:r>
            <w:proofErr w:type="spellEnd"/>
            <w:r>
              <w:rPr>
                <w:szCs w:val="16"/>
                <w:lang w:val="tr-TR"/>
              </w:rPr>
              <w:t>, Çocuk Hukuku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447F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429F2"/>
    <w:rsid w:val="00832BE3"/>
    <w:rsid w:val="00BC32DD"/>
    <w:rsid w:val="00D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F0E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Oral</dc:creator>
  <cp:keywords/>
  <dc:description/>
  <cp:lastModifiedBy>Tuğçe Oral</cp:lastModifiedBy>
  <cp:revision>2</cp:revision>
  <dcterms:created xsi:type="dcterms:W3CDTF">2019-03-19T11:51:00Z</dcterms:created>
  <dcterms:modified xsi:type="dcterms:W3CDTF">2019-03-19T11:51:00Z</dcterms:modified>
</cp:coreProperties>
</file>