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b w:val="0"/>
                <w:bCs w:val="0"/>
                <w:i w:val="0"/>
                <w:sz w:val="18"/>
                <w:szCs w:val="18"/>
              </w:rPr>
              <w:t xml:space="preserve">(Name of </w:t>
            </w:r>
            <w:proofErr w:type="spellStart"/>
            <w:r w:rsidRPr="005F0636">
              <w:rPr>
                <w:b w:val="0"/>
                <w:bCs w:val="0"/>
                <w:i w:val="0"/>
                <w:sz w:val="18"/>
                <w:szCs w:val="18"/>
              </w:rPr>
              <w:t>the</w:t>
            </w:r>
            <w:proofErr w:type="spellEnd"/>
            <w:r w:rsidRPr="005F0636">
              <w:rPr>
                <w:b w:val="0"/>
                <w:bCs w:val="0"/>
                <w:i w:val="0"/>
                <w:sz w:val="18"/>
                <w:szCs w:val="18"/>
              </w:rPr>
              <w:t xml:space="preserve"> Course)</w:t>
            </w:r>
          </w:p>
        </w:tc>
        <w:tc>
          <w:tcPr>
            <w:tcW w:w="6068" w:type="dxa"/>
          </w:tcPr>
          <w:p w:rsidR="00BC32DD" w:rsidRPr="001A2552" w:rsidRDefault="008D476E" w:rsidP="008D476E">
            <w:pPr>
              <w:pStyle w:val="DersBilgileri"/>
              <w:rPr>
                <w:b/>
                <w:bCs/>
                <w:szCs w:val="16"/>
              </w:rPr>
            </w:pPr>
            <w:r w:rsidRPr="008D476E">
              <w:rPr>
                <w:b/>
                <w:bCs/>
                <w:szCs w:val="16"/>
              </w:rPr>
              <w:t xml:space="preserve">EDP442 AND GENDER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b w:val="0"/>
                <w:bCs w:val="0"/>
                <w:i w:val="0"/>
                <w:sz w:val="18"/>
                <w:szCs w:val="18"/>
                <w:lang w:val="en-US"/>
              </w:rPr>
              <w:t>(Lecturer)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Arş. Gör. Fatma Kenevir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b w:val="0"/>
                <w:bCs w:val="0"/>
                <w:i w:val="0"/>
                <w:sz w:val="18"/>
                <w:szCs w:val="18"/>
                <w:lang w:val="en-US"/>
              </w:rPr>
              <w:t>(Level of the Course)</w:t>
            </w:r>
          </w:p>
        </w:tc>
        <w:tc>
          <w:tcPr>
            <w:tcW w:w="6068" w:type="dxa"/>
          </w:tcPr>
          <w:p w:rsidR="00BC32DD" w:rsidRPr="001A2552" w:rsidRDefault="00374431" w:rsidP="00832AEF">
            <w:pPr>
              <w:pStyle w:val="DersBilgileri"/>
              <w:rPr>
                <w:szCs w:val="16"/>
              </w:rPr>
            </w:pPr>
            <w:proofErr w:type="spellStart"/>
            <w:r w:rsidRPr="00374431"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  <w:p w:rsidR="005F0636" w:rsidRPr="005F0636" w:rsidRDefault="005F0636" w:rsidP="00832AEF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5F0636">
              <w:rPr>
                <w:b w:val="0"/>
                <w:bCs w:val="0"/>
                <w:i w:val="0"/>
                <w:iCs/>
                <w:szCs w:val="16"/>
              </w:rPr>
              <w:t xml:space="preserve">(Course </w:t>
            </w:r>
            <w:proofErr w:type="spellStart"/>
            <w:r w:rsidRPr="005F0636">
              <w:rPr>
                <w:b w:val="0"/>
                <w:bCs w:val="0"/>
                <w:i w:val="0"/>
                <w:iCs/>
                <w:szCs w:val="16"/>
              </w:rPr>
              <w:t>Credit</w:t>
            </w:r>
            <w:proofErr w:type="spellEnd"/>
            <w:r w:rsidRPr="005F0636">
              <w:rPr>
                <w:b w:val="0"/>
                <w:bCs w:val="0"/>
                <w:i w:val="0"/>
                <w:iCs/>
                <w:szCs w:val="16"/>
              </w:rPr>
              <w:t>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  <w:p w:rsidR="005F0636" w:rsidRPr="005F0636" w:rsidRDefault="005F0636" w:rsidP="00832AEF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5F0636">
              <w:rPr>
                <w:b w:val="0"/>
                <w:bCs w:val="0"/>
                <w:i w:val="0"/>
                <w:iCs/>
                <w:szCs w:val="16"/>
              </w:rPr>
              <w:t>(</w:t>
            </w:r>
            <w:proofErr w:type="spellStart"/>
            <w:r w:rsidRPr="005F0636">
              <w:rPr>
                <w:b w:val="0"/>
                <w:bCs w:val="0"/>
                <w:i w:val="0"/>
                <w:iCs/>
                <w:szCs w:val="16"/>
              </w:rPr>
              <w:t>Type</w:t>
            </w:r>
            <w:proofErr w:type="spellEnd"/>
            <w:r w:rsidRPr="005F0636">
              <w:rPr>
                <w:b w:val="0"/>
                <w:bCs w:val="0"/>
                <w:i w:val="0"/>
                <w:iCs/>
                <w:szCs w:val="16"/>
              </w:rPr>
              <w:t xml:space="preserve"> of </w:t>
            </w:r>
            <w:proofErr w:type="spellStart"/>
            <w:r w:rsidRPr="005F0636">
              <w:rPr>
                <w:b w:val="0"/>
                <w:bCs w:val="0"/>
                <w:i w:val="0"/>
                <w:iCs/>
                <w:szCs w:val="16"/>
              </w:rPr>
              <w:t>the</w:t>
            </w:r>
            <w:proofErr w:type="spellEnd"/>
            <w:r w:rsidRPr="005F0636">
              <w:rPr>
                <w:b w:val="0"/>
                <w:bCs w:val="0"/>
                <w:i w:val="0"/>
                <w:iCs/>
                <w:szCs w:val="16"/>
              </w:rPr>
              <w:t xml:space="preserve"> Course)</w:t>
            </w:r>
          </w:p>
        </w:tc>
        <w:tc>
          <w:tcPr>
            <w:tcW w:w="6068" w:type="dxa"/>
          </w:tcPr>
          <w:p w:rsidR="00BC32DD" w:rsidRPr="001A2552" w:rsidRDefault="008D476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5F0636" w:rsidRPr="005F0636" w:rsidRDefault="005F0636" w:rsidP="00832AEF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5F0636">
              <w:rPr>
                <w:b w:val="0"/>
                <w:bCs w:val="0"/>
                <w:i w:val="0"/>
                <w:iCs/>
                <w:szCs w:val="16"/>
              </w:rPr>
              <w:t xml:space="preserve">(Course </w:t>
            </w:r>
            <w:proofErr w:type="spellStart"/>
            <w:r w:rsidRPr="005F0636">
              <w:rPr>
                <w:b w:val="0"/>
                <w:bCs w:val="0"/>
                <w:i w:val="0"/>
                <w:iCs/>
                <w:szCs w:val="16"/>
              </w:rPr>
              <w:t>Description</w:t>
            </w:r>
            <w:proofErr w:type="spellEnd"/>
            <w:r w:rsidRPr="005F0636">
              <w:rPr>
                <w:b w:val="0"/>
                <w:bCs w:val="0"/>
                <w:i w:val="0"/>
                <w:iCs/>
                <w:szCs w:val="16"/>
              </w:rPr>
              <w:t>)</w:t>
            </w:r>
          </w:p>
        </w:tc>
        <w:tc>
          <w:tcPr>
            <w:tcW w:w="6068" w:type="dxa"/>
          </w:tcPr>
          <w:p w:rsidR="00BC32DD" w:rsidRPr="001A2552" w:rsidRDefault="008D476E" w:rsidP="00FE0380">
            <w:pPr>
              <w:pStyle w:val="DersBilgileri"/>
              <w:rPr>
                <w:szCs w:val="16"/>
              </w:rPr>
            </w:pPr>
            <w:proofErr w:type="spellStart"/>
            <w:r w:rsidRPr="008D476E">
              <w:rPr>
                <w:szCs w:val="16"/>
              </w:rPr>
              <w:t>This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course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present</w:t>
            </w:r>
            <w:proofErr w:type="spellEnd"/>
            <w:r w:rsidRPr="008D476E">
              <w:rPr>
                <w:szCs w:val="16"/>
              </w:rPr>
              <w:t>/</w:t>
            </w:r>
            <w:proofErr w:type="spellStart"/>
            <w:r w:rsidRPr="008D476E">
              <w:rPr>
                <w:szCs w:val="16"/>
              </w:rPr>
              <w:t>offer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students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to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topic</w:t>
            </w:r>
            <w:proofErr w:type="spellEnd"/>
            <w:r w:rsidRPr="008D476E">
              <w:rPr>
                <w:szCs w:val="16"/>
              </w:rPr>
              <w:t xml:space="preserve"> of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. </w:t>
            </w:r>
            <w:proofErr w:type="spellStart"/>
            <w:r w:rsidRPr="008D476E">
              <w:rPr>
                <w:szCs w:val="16"/>
              </w:rPr>
              <w:t>It</w:t>
            </w:r>
            <w:proofErr w:type="spellEnd"/>
            <w:r w:rsidRPr="008D476E">
              <w:rPr>
                <w:szCs w:val="16"/>
              </w:rPr>
              <w:t xml:space="preserve"> is </w:t>
            </w:r>
            <w:proofErr w:type="spellStart"/>
            <w:r w:rsidRPr="008D476E">
              <w:rPr>
                <w:szCs w:val="16"/>
              </w:rPr>
              <w:t>common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to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hear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debates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about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proofErr w:type="gram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  </w:t>
            </w:r>
            <w:proofErr w:type="spellStart"/>
            <w:r w:rsidRPr="008D476E">
              <w:rPr>
                <w:szCs w:val="16"/>
              </w:rPr>
              <w:t>from</w:t>
            </w:r>
            <w:proofErr w:type="spellEnd"/>
            <w:proofErr w:type="gram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both</w:t>
            </w:r>
            <w:proofErr w:type="spellEnd"/>
            <w:r w:rsidRPr="008D476E">
              <w:rPr>
                <w:szCs w:val="16"/>
              </w:rPr>
              <w:t xml:space="preserve"> feminist </w:t>
            </w:r>
            <w:proofErr w:type="spellStart"/>
            <w:r w:rsidRPr="008D476E">
              <w:rPr>
                <w:szCs w:val="16"/>
              </w:rPr>
              <w:t>scholars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pundits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alike</w:t>
            </w:r>
            <w:proofErr w:type="spellEnd"/>
            <w:r w:rsidRPr="008D476E">
              <w:rPr>
                <w:szCs w:val="16"/>
              </w:rPr>
              <w:t xml:space="preserve">. </w:t>
            </w:r>
            <w:proofErr w:type="spellStart"/>
            <w:r w:rsidRPr="008D476E">
              <w:rPr>
                <w:szCs w:val="16"/>
              </w:rPr>
              <w:t>What</w:t>
            </w:r>
            <w:proofErr w:type="spellEnd"/>
            <w:r w:rsidRPr="008D476E">
              <w:rPr>
                <w:szCs w:val="16"/>
              </w:rPr>
              <w:t xml:space="preserve"> is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relationship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between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patriarchy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? Is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feminism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opposite</w:t>
            </w:r>
            <w:proofErr w:type="spellEnd"/>
            <w:r w:rsidRPr="008D476E">
              <w:rPr>
                <w:szCs w:val="16"/>
              </w:rPr>
              <w:t xml:space="preserve">? </w:t>
            </w:r>
            <w:proofErr w:type="spellStart"/>
            <w:r w:rsidRPr="008D476E">
              <w:rPr>
                <w:szCs w:val="16"/>
              </w:rPr>
              <w:t>Are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women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more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religious</w:t>
            </w:r>
            <w:proofErr w:type="spellEnd"/>
            <w:r w:rsidRPr="008D476E">
              <w:rPr>
                <w:szCs w:val="16"/>
              </w:rPr>
              <w:t xml:space="preserve">? </w:t>
            </w:r>
            <w:proofErr w:type="spellStart"/>
            <w:r w:rsidRPr="008D476E">
              <w:rPr>
                <w:szCs w:val="16"/>
              </w:rPr>
              <w:t>What</w:t>
            </w:r>
            <w:proofErr w:type="spellEnd"/>
            <w:r w:rsidRPr="008D476E">
              <w:rPr>
                <w:szCs w:val="16"/>
              </w:rPr>
              <w:t xml:space="preserve"> is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feminist </w:t>
            </w:r>
            <w:proofErr w:type="spellStart"/>
            <w:r w:rsidRPr="008D476E">
              <w:rPr>
                <w:szCs w:val="16"/>
              </w:rPr>
              <w:t>theology</w:t>
            </w:r>
            <w:proofErr w:type="spellEnd"/>
            <w:r w:rsidRPr="008D476E">
              <w:rPr>
                <w:szCs w:val="16"/>
              </w:rPr>
              <w:t xml:space="preserve">? </w:t>
            </w:r>
            <w:proofErr w:type="spellStart"/>
            <w:r w:rsidRPr="008D476E">
              <w:rPr>
                <w:szCs w:val="16"/>
              </w:rPr>
              <w:t>What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does</w:t>
            </w:r>
            <w:proofErr w:type="spellEnd"/>
            <w:r w:rsidRPr="008D476E">
              <w:rPr>
                <w:szCs w:val="16"/>
              </w:rPr>
              <w:t xml:space="preserve"> it </w:t>
            </w:r>
            <w:proofErr w:type="spellStart"/>
            <w:r w:rsidRPr="008D476E">
              <w:rPr>
                <w:szCs w:val="16"/>
              </w:rPr>
              <w:t>mean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to</w:t>
            </w:r>
            <w:proofErr w:type="spellEnd"/>
            <w:r w:rsidRPr="008D476E">
              <w:rPr>
                <w:szCs w:val="16"/>
              </w:rPr>
              <w:t xml:space="preserve"> be </w:t>
            </w:r>
            <w:proofErr w:type="spellStart"/>
            <w:r w:rsidRPr="008D476E">
              <w:rPr>
                <w:szCs w:val="16"/>
              </w:rPr>
              <w:t>female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or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otherwise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gendered</w:t>
            </w:r>
            <w:proofErr w:type="spellEnd"/>
            <w:r w:rsidRPr="008D476E">
              <w:rPr>
                <w:szCs w:val="16"/>
              </w:rPr>
              <w:t xml:space="preserve"> in </w:t>
            </w:r>
            <w:proofErr w:type="spellStart"/>
            <w:r w:rsidRPr="008D476E">
              <w:rPr>
                <w:szCs w:val="16"/>
              </w:rPr>
              <w:t>several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religious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traditions</w:t>
            </w:r>
            <w:proofErr w:type="spellEnd"/>
            <w:r w:rsidRPr="008D476E">
              <w:rPr>
                <w:szCs w:val="16"/>
              </w:rPr>
              <w:t xml:space="preserve">? How </w:t>
            </w:r>
            <w:proofErr w:type="spellStart"/>
            <w:r w:rsidRPr="008D476E">
              <w:rPr>
                <w:szCs w:val="16"/>
              </w:rPr>
              <w:t>does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focusing</w:t>
            </w:r>
            <w:proofErr w:type="spellEnd"/>
            <w:r w:rsidRPr="008D476E">
              <w:rPr>
                <w:szCs w:val="16"/>
              </w:rPr>
              <w:t xml:space="preserve"> on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enrich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complicate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our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sensibility</w:t>
            </w:r>
            <w:proofErr w:type="spellEnd"/>
            <w:r w:rsidRPr="008D476E">
              <w:rPr>
                <w:szCs w:val="16"/>
              </w:rPr>
              <w:t>/</w:t>
            </w:r>
            <w:proofErr w:type="spellStart"/>
            <w:r w:rsidRPr="008D476E">
              <w:rPr>
                <w:szCs w:val="16"/>
              </w:rPr>
              <w:t>understanding</w:t>
            </w:r>
            <w:proofErr w:type="spellEnd"/>
            <w:r w:rsidRPr="008D476E">
              <w:rPr>
                <w:szCs w:val="16"/>
              </w:rPr>
              <w:t xml:space="preserve"> of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in </w:t>
            </w:r>
            <w:proofErr w:type="spellStart"/>
            <w:r w:rsidRPr="008D476E">
              <w:rPr>
                <w:szCs w:val="16"/>
              </w:rPr>
              <w:t>particular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religious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traditions</w:t>
            </w:r>
            <w:proofErr w:type="spellEnd"/>
            <w:r w:rsidRPr="008D476E">
              <w:rPr>
                <w:szCs w:val="16"/>
              </w:rPr>
              <w:t xml:space="preserve">? </w:t>
            </w:r>
            <w:proofErr w:type="spellStart"/>
            <w:r w:rsidRPr="008D476E">
              <w:rPr>
                <w:szCs w:val="16"/>
              </w:rPr>
              <w:t>Although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these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questions</w:t>
            </w:r>
            <w:proofErr w:type="spellEnd"/>
            <w:r w:rsidRPr="008D476E">
              <w:rPr>
                <w:szCs w:val="16"/>
              </w:rPr>
              <w:t xml:space="preserve"> not </w:t>
            </w:r>
            <w:proofErr w:type="spellStart"/>
            <w:r w:rsidRPr="008D476E">
              <w:rPr>
                <w:szCs w:val="16"/>
              </w:rPr>
              <w:t>easy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are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answered</w:t>
            </w:r>
            <w:proofErr w:type="spellEnd"/>
            <w:r w:rsidRPr="008D476E">
              <w:rPr>
                <w:szCs w:val="16"/>
              </w:rPr>
              <w:t xml:space="preserve">, </w:t>
            </w:r>
            <w:proofErr w:type="spellStart"/>
            <w:r w:rsidRPr="008D476E">
              <w:rPr>
                <w:szCs w:val="16"/>
              </w:rPr>
              <w:t>we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will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focus</w:t>
            </w:r>
            <w:proofErr w:type="spellEnd"/>
            <w:r w:rsidRPr="008D476E">
              <w:rPr>
                <w:szCs w:val="16"/>
              </w:rPr>
              <w:t xml:space="preserve"> on </w:t>
            </w:r>
            <w:proofErr w:type="spellStart"/>
            <w:r w:rsidRPr="008D476E">
              <w:rPr>
                <w:szCs w:val="16"/>
              </w:rPr>
              <w:t>these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debates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about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(s). </w:t>
            </w:r>
            <w:proofErr w:type="spellStart"/>
            <w:r w:rsidRPr="008D476E">
              <w:rPr>
                <w:szCs w:val="16"/>
              </w:rPr>
              <w:t>We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will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investigate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ways</w:t>
            </w:r>
            <w:proofErr w:type="spellEnd"/>
            <w:r w:rsidRPr="008D476E">
              <w:rPr>
                <w:szCs w:val="16"/>
              </w:rPr>
              <w:t xml:space="preserve"> in </w:t>
            </w:r>
            <w:proofErr w:type="spellStart"/>
            <w:r w:rsidRPr="008D476E">
              <w:rPr>
                <w:szCs w:val="16"/>
              </w:rPr>
              <w:t>which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 is </w:t>
            </w:r>
            <w:proofErr w:type="spellStart"/>
            <w:r w:rsidRPr="008D476E">
              <w:rPr>
                <w:szCs w:val="16"/>
              </w:rPr>
              <w:t>entangled</w:t>
            </w:r>
            <w:proofErr w:type="spellEnd"/>
            <w:r w:rsidRPr="008D476E">
              <w:rPr>
                <w:szCs w:val="16"/>
              </w:rPr>
              <w:t xml:space="preserve"> in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(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is </w:t>
            </w:r>
            <w:proofErr w:type="spellStart"/>
            <w:r w:rsidRPr="008D476E">
              <w:rPr>
                <w:szCs w:val="16"/>
              </w:rPr>
              <w:t>entangled</w:t>
            </w:r>
            <w:proofErr w:type="spellEnd"/>
            <w:r w:rsidRPr="008D476E">
              <w:rPr>
                <w:szCs w:val="16"/>
              </w:rPr>
              <w:t xml:space="preserve"> in </w:t>
            </w:r>
            <w:proofErr w:type="spellStart"/>
            <w:r w:rsidRPr="008D476E">
              <w:rPr>
                <w:szCs w:val="16"/>
              </w:rPr>
              <w:t>our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understandings</w:t>
            </w:r>
            <w:proofErr w:type="spellEnd"/>
            <w:r w:rsidRPr="008D476E">
              <w:rPr>
                <w:szCs w:val="16"/>
              </w:rPr>
              <w:t xml:space="preserve"> of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) in </w:t>
            </w:r>
            <w:proofErr w:type="spellStart"/>
            <w:r w:rsidRPr="008D476E">
              <w:rPr>
                <w:szCs w:val="16"/>
              </w:rPr>
              <w:t>different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religious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traditions</w:t>
            </w:r>
            <w:proofErr w:type="spellEnd"/>
            <w:r w:rsidRPr="008D476E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6343A" w:rsidRDefault="00BC32DD" w:rsidP="00832AEF">
            <w:pPr>
              <w:pStyle w:val="DersBasliklar"/>
              <w:rPr>
                <w:szCs w:val="16"/>
              </w:rPr>
            </w:pPr>
            <w:r w:rsidRPr="00B6343A">
              <w:rPr>
                <w:szCs w:val="16"/>
              </w:rPr>
              <w:t>Dersin Amacı</w:t>
            </w:r>
          </w:p>
          <w:p w:rsidR="005F0636" w:rsidRPr="00B6343A" w:rsidRDefault="005F0636" w:rsidP="005F0636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B6343A">
              <w:rPr>
                <w:b w:val="0"/>
                <w:bCs w:val="0"/>
                <w:i w:val="0"/>
                <w:iCs/>
                <w:szCs w:val="16"/>
              </w:rPr>
              <w:t xml:space="preserve">(Course </w:t>
            </w:r>
            <w:proofErr w:type="spellStart"/>
            <w:r w:rsidRPr="00B6343A">
              <w:rPr>
                <w:b w:val="0"/>
                <w:bCs w:val="0"/>
                <w:i w:val="0"/>
                <w:iCs/>
                <w:szCs w:val="16"/>
              </w:rPr>
              <w:t>Goals</w:t>
            </w:r>
            <w:proofErr w:type="spellEnd"/>
            <w:r w:rsidRPr="00B6343A">
              <w:rPr>
                <w:b w:val="0"/>
                <w:bCs w:val="0"/>
                <w:i w:val="0"/>
                <w:iCs/>
                <w:szCs w:val="16"/>
              </w:rPr>
              <w:t>)</w:t>
            </w:r>
          </w:p>
        </w:tc>
        <w:tc>
          <w:tcPr>
            <w:tcW w:w="6068" w:type="dxa"/>
          </w:tcPr>
          <w:p w:rsidR="00FE0380" w:rsidRPr="00B6343A" w:rsidRDefault="00FE0380" w:rsidP="00FE0380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B6343A">
              <w:rPr>
                <w:szCs w:val="16"/>
              </w:rPr>
              <w:t>After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successfully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completing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the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course</w:t>
            </w:r>
            <w:proofErr w:type="spellEnd"/>
            <w:r w:rsidRPr="00B6343A">
              <w:rPr>
                <w:szCs w:val="16"/>
              </w:rPr>
              <w:t xml:space="preserve">, </w:t>
            </w:r>
            <w:proofErr w:type="spellStart"/>
            <w:r w:rsidRPr="00B6343A">
              <w:rPr>
                <w:szCs w:val="16"/>
              </w:rPr>
              <w:t>student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should</w:t>
            </w:r>
            <w:proofErr w:type="spellEnd"/>
            <w:r w:rsidRPr="00B6343A">
              <w:rPr>
                <w:szCs w:val="16"/>
              </w:rPr>
              <w:t xml:space="preserve"> be </w:t>
            </w:r>
            <w:proofErr w:type="spellStart"/>
            <w:r w:rsidRPr="00B6343A">
              <w:rPr>
                <w:szCs w:val="16"/>
              </w:rPr>
              <w:t>able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to</w:t>
            </w:r>
            <w:proofErr w:type="spellEnd"/>
            <w:r w:rsidRPr="00B6343A">
              <w:rPr>
                <w:szCs w:val="16"/>
              </w:rPr>
              <w:t>:</w:t>
            </w:r>
          </w:p>
          <w:p w:rsidR="008D476E" w:rsidRPr="008D476E" w:rsidRDefault="008D476E" w:rsidP="008D476E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proofErr w:type="spellStart"/>
            <w:r w:rsidRPr="008D476E">
              <w:rPr>
                <w:szCs w:val="16"/>
              </w:rPr>
              <w:t>Examine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practices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beliefs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between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</w:t>
            </w:r>
          </w:p>
          <w:p w:rsidR="008D476E" w:rsidRPr="008D476E" w:rsidRDefault="008D476E" w:rsidP="008D476E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proofErr w:type="spellStart"/>
            <w:r w:rsidRPr="008D476E">
              <w:rPr>
                <w:szCs w:val="16"/>
              </w:rPr>
              <w:t>Understand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relationship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concept</w:t>
            </w:r>
            <w:proofErr w:type="spellEnd"/>
            <w:r w:rsidRPr="008D476E">
              <w:rPr>
                <w:szCs w:val="16"/>
              </w:rPr>
              <w:t xml:space="preserve"> of “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”, </w:t>
            </w:r>
            <w:proofErr w:type="spellStart"/>
            <w:r w:rsidRPr="008D476E">
              <w:rPr>
                <w:szCs w:val="16"/>
              </w:rPr>
              <w:t>particularly</w:t>
            </w:r>
            <w:proofErr w:type="spellEnd"/>
            <w:r w:rsidRPr="008D476E">
              <w:rPr>
                <w:szCs w:val="16"/>
              </w:rPr>
              <w:t xml:space="preserve"> “</w:t>
            </w:r>
            <w:proofErr w:type="spellStart"/>
            <w:r w:rsidRPr="008D476E">
              <w:rPr>
                <w:szCs w:val="16"/>
              </w:rPr>
              <w:t>lived</w:t>
            </w:r>
            <w:proofErr w:type="spellEnd"/>
            <w:r w:rsidRPr="008D476E">
              <w:rPr>
                <w:szCs w:val="16"/>
              </w:rPr>
              <w:t xml:space="preserve">”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>.</w:t>
            </w:r>
          </w:p>
          <w:p w:rsidR="008D476E" w:rsidRPr="008D476E" w:rsidRDefault="008D476E" w:rsidP="008D476E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proofErr w:type="spellStart"/>
            <w:r w:rsidRPr="008D476E">
              <w:rPr>
                <w:szCs w:val="16"/>
              </w:rPr>
              <w:t>Think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write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critically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about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study</w:t>
            </w:r>
            <w:proofErr w:type="spellEnd"/>
            <w:r w:rsidRPr="008D476E">
              <w:rPr>
                <w:szCs w:val="16"/>
              </w:rPr>
              <w:t xml:space="preserve"> of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>.</w:t>
            </w:r>
          </w:p>
          <w:p w:rsidR="008D476E" w:rsidRPr="008D476E" w:rsidRDefault="008D476E" w:rsidP="008D476E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proofErr w:type="spellStart"/>
            <w:r w:rsidRPr="008D476E">
              <w:rPr>
                <w:szCs w:val="16"/>
              </w:rPr>
              <w:t>Know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about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historical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development</w:t>
            </w:r>
            <w:proofErr w:type="spellEnd"/>
            <w:r w:rsidRPr="008D476E">
              <w:rPr>
                <w:szCs w:val="16"/>
              </w:rPr>
              <w:t xml:space="preserve"> of </w:t>
            </w:r>
            <w:proofErr w:type="spellStart"/>
            <w:r w:rsidRPr="008D476E">
              <w:rPr>
                <w:szCs w:val="16"/>
              </w:rPr>
              <w:t>beliefs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theologies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surrounding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within</w:t>
            </w:r>
            <w:proofErr w:type="spellEnd"/>
            <w:r w:rsidRPr="008D476E">
              <w:rPr>
                <w:szCs w:val="16"/>
              </w:rPr>
              <w:t xml:space="preserve"> a </w:t>
            </w:r>
            <w:proofErr w:type="spellStart"/>
            <w:r w:rsidRPr="008D476E">
              <w:rPr>
                <w:szCs w:val="16"/>
              </w:rPr>
              <w:t>number</w:t>
            </w:r>
            <w:proofErr w:type="spellEnd"/>
            <w:r w:rsidRPr="008D476E">
              <w:rPr>
                <w:szCs w:val="16"/>
              </w:rPr>
              <w:t xml:space="preserve"> of </w:t>
            </w:r>
            <w:proofErr w:type="spellStart"/>
            <w:r w:rsidRPr="008D476E">
              <w:rPr>
                <w:szCs w:val="16"/>
              </w:rPr>
              <w:t>religious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traditions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communities</w:t>
            </w:r>
            <w:proofErr w:type="spellEnd"/>
            <w:r w:rsidRPr="008D476E">
              <w:rPr>
                <w:szCs w:val="16"/>
              </w:rPr>
              <w:t>.</w:t>
            </w:r>
          </w:p>
          <w:p w:rsidR="00BC32DD" w:rsidRPr="00B6343A" w:rsidRDefault="008D476E" w:rsidP="008D476E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8D476E">
              <w:rPr>
                <w:szCs w:val="16"/>
              </w:rPr>
              <w:t xml:space="preserve">Be </w:t>
            </w:r>
            <w:proofErr w:type="spellStart"/>
            <w:r w:rsidRPr="008D476E">
              <w:rPr>
                <w:szCs w:val="16"/>
              </w:rPr>
              <w:t>acquainted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with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literature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written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about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gender</w:t>
            </w:r>
            <w:proofErr w:type="spellEnd"/>
            <w:r w:rsidRPr="008D476E">
              <w:rPr>
                <w:szCs w:val="16"/>
              </w:rPr>
              <w:t xml:space="preserve">,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religion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by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local</w:t>
            </w:r>
            <w:proofErr w:type="spellEnd"/>
            <w:r w:rsidRPr="008D476E">
              <w:rPr>
                <w:szCs w:val="16"/>
              </w:rPr>
              <w:t xml:space="preserve">, </w:t>
            </w:r>
            <w:proofErr w:type="spellStart"/>
            <w:r w:rsidRPr="008D476E">
              <w:rPr>
                <w:szCs w:val="16"/>
              </w:rPr>
              <w:t>national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and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international</w:t>
            </w:r>
            <w:proofErr w:type="spellEnd"/>
            <w:r w:rsidRPr="008D476E">
              <w:rPr>
                <w:szCs w:val="16"/>
              </w:rPr>
              <w:t xml:space="preserve"> </w:t>
            </w:r>
            <w:proofErr w:type="spellStart"/>
            <w:r w:rsidRPr="008D476E">
              <w:rPr>
                <w:szCs w:val="16"/>
              </w:rPr>
              <w:t>scholars</w:t>
            </w:r>
            <w:proofErr w:type="spellEnd"/>
            <w:r w:rsidRPr="008D476E">
              <w:rPr>
                <w:szCs w:val="16"/>
              </w:rPr>
              <w:t>.</w:t>
            </w:r>
            <w:r w:rsidR="00FE0380" w:rsidRPr="00B6343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b w:val="0"/>
                <w:bCs w:val="0"/>
                <w:i w:val="0"/>
                <w:sz w:val="18"/>
                <w:szCs w:val="18"/>
                <w:lang w:val="en-US"/>
              </w:rPr>
              <w:t>(Course Load)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 w:rsidRPr="00E87FD4">
              <w:rPr>
                <w:szCs w:val="16"/>
              </w:rPr>
              <w:t xml:space="preserve">14 </w:t>
            </w:r>
            <w:proofErr w:type="spellStart"/>
            <w:r w:rsidRPr="00E87FD4"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szCs w:val="16"/>
              </w:rPr>
              <w:t xml:space="preserve">(Language of </w:t>
            </w:r>
            <w:proofErr w:type="spellStart"/>
            <w:r w:rsidRPr="005F0636">
              <w:rPr>
                <w:szCs w:val="16"/>
              </w:rPr>
              <w:t>the</w:t>
            </w:r>
            <w:proofErr w:type="spellEnd"/>
            <w:r w:rsidRPr="005F0636">
              <w:rPr>
                <w:szCs w:val="16"/>
              </w:rPr>
              <w:t xml:space="preserve"> Course)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  <w:p w:rsidR="00795872" w:rsidRDefault="00795872" w:rsidP="00832AEF">
            <w:pPr>
              <w:pStyle w:val="DersBasliklar"/>
              <w:rPr>
                <w:szCs w:val="16"/>
              </w:rPr>
            </w:pPr>
          </w:p>
          <w:p w:rsidR="005F0636" w:rsidRPr="001A2552" w:rsidRDefault="00795872" w:rsidP="00832AEF">
            <w:pPr>
              <w:pStyle w:val="DersBasliklar"/>
              <w:rPr>
                <w:szCs w:val="16"/>
              </w:rPr>
            </w:pPr>
            <w:r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>(</w:t>
            </w:r>
            <w:proofErr w:type="spellStart"/>
            <w:r w:rsidRPr="00795872"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>Recommended</w:t>
            </w:r>
            <w:proofErr w:type="spellEnd"/>
            <w:r w:rsidRPr="00795872"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72"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>Readings</w:t>
            </w:r>
            <w:proofErr w:type="spellEnd"/>
            <w:r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68" w:type="dxa"/>
          </w:tcPr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Sîan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Hawthorne</w:t>
            </w:r>
            <w:proofErr w:type="spellEnd"/>
            <w:r w:rsidRPr="008D476E">
              <w:rPr>
                <w:szCs w:val="16"/>
                <w:lang w:val="tr-TR"/>
              </w:rPr>
              <w:t>. “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Gender</w:t>
            </w:r>
            <w:proofErr w:type="spellEnd"/>
            <w:r w:rsidRPr="008D476E">
              <w:rPr>
                <w:szCs w:val="16"/>
                <w:lang w:val="tr-TR"/>
              </w:rPr>
              <w:t xml:space="preserve">”. 2009. </w:t>
            </w:r>
            <w:proofErr w:type="spellStart"/>
            <w:r w:rsidRPr="008D476E">
              <w:rPr>
                <w:szCs w:val="16"/>
                <w:lang w:val="tr-TR"/>
              </w:rPr>
              <w:t>Clarke</w:t>
            </w:r>
            <w:proofErr w:type="spellEnd"/>
            <w:r w:rsidRPr="008D476E">
              <w:rPr>
                <w:szCs w:val="16"/>
                <w:lang w:val="tr-TR"/>
              </w:rPr>
              <w:t xml:space="preserve"> Peter B. 2009. </w:t>
            </w:r>
            <w:proofErr w:type="spellStart"/>
            <w:r w:rsidRPr="008D476E">
              <w:rPr>
                <w:szCs w:val="16"/>
                <w:lang w:val="tr-TR"/>
              </w:rPr>
              <w:t>The</w:t>
            </w:r>
            <w:proofErr w:type="spellEnd"/>
            <w:r w:rsidRPr="008D476E">
              <w:rPr>
                <w:szCs w:val="16"/>
                <w:lang w:val="tr-TR"/>
              </w:rPr>
              <w:t xml:space="preserve"> Oxford </w:t>
            </w:r>
            <w:proofErr w:type="spellStart"/>
            <w:r w:rsidRPr="008D476E">
              <w:rPr>
                <w:szCs w:val="16"/>
                <w:lang w:val="tr-TR"/>
              </w:rPr>
              <w:t>Handbook</w:t>
            </w:r>
            <w:proofErr w:type="spellEnd"/>
            <w:r w:rsidRPr="008D476E">
              <w:rPr>
                <w:szCs w:val="16"/>
                <w:lang w:val="tr-TR"/>
              </w:rPr>
              <w:t xml:space="preserve"> of </w:t>
            </w:r>
            <w:proofErr w:type="spellStart"/>
            <w:r w:rsidRPr="008D476E">
              <w:rPr>
                <w:szCs w:val="16"/>
                <w:lang w:val="tr-TR"/>
              </w:rPr>
              <w:t>the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Sociology</w:t>
            </w:r>
            <w:proofErr w:type="spellEnd"/>
            <w:r w:rsidRPr="008D476E">
              <w:rPr>
                <w:szCs w:val="16"/>
                <w:lang w:val="tr-TR"/>
              </w:rPr>
              <w:t xml:space="preserve"> of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 (Oxford </w:t>
            </w:r>
            <w:proofErr w:type="spellStart"/>
            <w:r w:rsidRPr="008D476E">
              <w:rPr>
                <w:szCs w:val="16"/>
                <w:lang w:val="tr-TR"/>
              </w:rPr>
              <w:t>Handbooks</w:t>
            </w:r>
            <w:proofErr w:type="spellEnd"/>
            <w:r w:rsidRPr="008D476E">
              <w:rPr>
                <w:szCs w:val="16"/>
                <w:lang w:val="tr-TR"/>
              </w:rPr>
              <w:t>).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Gross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Rita</w:t>
            </w:r>
            <w:proofErr w:type="spellEnd"/>
            <w:r w:rsidRPr="008D476E">
              <w:rPr>
                <w:szCs w:val="16"/>
                <w:lang w:val="tr-TR"/>
              </w:rPr>
              <w:t>. “</w:t>
            </w:r>
            <w:proofErr w:type="spellStart"/>
            <w:r w:rsidRPr="008D476E">
              <w:rPr>
                <w:szCs w:val="16"/>
                <w:lang w:val="tr-TR"/>
              </w:rPr>
              <w:t>Defining</w:t>
            </w:r>
            <w:proofErr w:type="spellEnd"/>
            <w:r w:rsidRPr="008D476E">
              <w:rPr>
                <w:szCs w:val="16"/>
                <w:lang w:val="tr-TR"/>
              </w:rPr>
              <w:t xml:space="preserve"> Feminist,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>,</w:t>
            </w:r>
            <w:r w:rsidRPr="008D476E">
              <w:rPr>
                <w:szCs w:val="16"/>
                <w:lang w:val="tr-TR"/>
              </w:rPr>
              <w:tab/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the</w:t>
            </w:r>
            <w:proofErr w:type="spellEnd"/>
            <w:r w:rsidRPr="008D476E">
              <w:rPr>
                <w:szCs w:val="16"/>
                <w:lang w:val="tr-TR"/>
              </w:rPr>
              <w:tab/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Study</w:t>
            </w:r>
            <w:proofErr w:type="spellEnd"/>
            <w:r w:rsidRPr="008D476E">
              <w:rPr>
                <w:szCs w:val="16"/>
                <w:lang w:val="tr-TR"/>
              </w:rPr>
              <w:t xml:space="preserve"> of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>”</w:t>
            </w:r>
            <w:r w:rsidRPr="008D476E">
              <w:rPr>
                <w:szCs w:val="16"/>
                <w:lang w:val="tr-TR"/>
              </w:rPr>
              <w:tab/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Cherly</w:t>
            </w:r>
            <w:proofErr w:type="spellEnd"/>
            <w:r w:rsidRPr="008D476E">
              <w:rPr>
                <w:szCs w:val="16"/>
                <w:lang w:val="tr-TR"/>
              </w:rPr>
              <w:t xml:space="preserve"> B. Preston ‘</w:t>
            </w:r>
            <w:proofErr w:type="spellStart"/>
            <w:r w:rsidRPr="008D476E">
              <w:rPr>
                <w:szCs w:val="16"/>
                <w:lang w:val="tr-TR"/>
              </w:rPr>
              <w:t>Deconstructing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Equality</w:t>
            </w:r>
            <w:proofErr w:type="spellEnd"/>
            <w:r w:rsidRPr="008D476E">
              <w:rPr>
                <w:szCs w:val="16"/>
                <w:lang w:val="tr-TR"/>
              </w:rPr>
              <w:t xml:space="preserve"> in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’ inside </w:t>
            </w:r>
            <w:proofErr w:type="spellStart"/>
            <w:r w:rsidRPr="008D476E">
              <w:rPr>
                <w:szCs w:val="16"/>
                <w:lang w:val="tr-TR"/>
              </w:rPr>
              <w:t>Feminism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Law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, Marie A. </w:t>
            </w:r>
            <w:proofErr w:type="spellStart"/>
            <w:r w:rsidRPr="008D476E">
              <w:rPr>
                <w:szCs w:val="16"/>
                <w:lang w:val="tr-TR"/>
              </w:rPr>
              <w:t>Failinger</w:t>
            </w:r>
            <w:proofErr w:type="spellEnd"/>
            <w:r w:rsidRPr="008D476E">
              <w:rPr>
                <w:szCs w:val="16"/>
                <w:lang w:val="tr-TR"/>
              </w:rPr>
              <w:t xml:space="preserve">, Elizabeth R. </w:t>
            </w:r>
            <w:proofErr w:type="spellStart"/>
            <w:r w:rsidRPr="008D476E">
              <w:rPr>
                <w:szCs w:val="16"/>
                <w:lang w:val="tr-TR"/>
              </w:rPr>
              <w:t>Schiltz</w:t>
            </w:r>
            <w:proofErr w:type="spellEnd"/>
            <w:r w:rsidRPr="008D476E">
              <w:rPr>
                <w:szCs w:val="16"/>
                <w:lang w:val="tr-TR"/>
              </w:rPr>
              <w:t xml:space="preserve">, Susan J. Stabile, </w:t>
            </w:r>
            <w:proofErr w:type="spellStart"/>
            <w:r w:rsidRPr="008D476E">
              <w:rPr>
                <w:szCs w:val="16"/>
                <w:lang w:val="tr-TR"/>
              </w:rPr>
              <w:t>Ashgate</w:t>
            </w:r>
            <w:proofErr w:type="spellEnd"/>
            <w:r w:rsidRPr="008D476E">
              <w:rPr>
                <w:szCs w:val="16"/>
                <w:lang w:val="tr-TR"/>
              </w:rPr>
              <w:t xml:space="preserve"> Publishing pp.25-62.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Dustin</w:t>
            </w:r>
            <w:proofErr w:type="spellEnd"/>
            <w:r w:rsidRPr="008D476E">
              <w:rPr>
                <w:szCs w:val="16"/>
                <w:lang w:val="tr-TR"/>
              </w:rPr>
              <w:t xml:space="preserve"> M. (2012). </w:t>
            </w:r>
            <w:proofErr w:type="spellStart"/>
            <w:r w:rsidRPr="008D476E">
              <w:rPr>
                <w:szCs w:val="16"/>
                <w:lang w:val="tr-TR"/>
              </w:rPr>
              <w:t>Defference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or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Interrogation</w:t>
            </w:r>
            <w:proofErr w:type="spellEnd"/>
            <w:r w:rsidRPr="008D476E">
              <w:rPr>
                <w:szCs w:val="16"/>
                <w:lang w:val="tr-TR"/>
              </w:rPr>
              <w:t xml:space="preserve">? </w:t>
            </w:r>
            <w:proofErr w:type="spellStart"/>
            <w:r w:rsidRPr="008D476E">
              <w:rPr>
                <w:szCs w:val="16"/>
                <w:lang w:val="tr-TR"/>
              </w:rPr>
              <w:t>Constrasting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Models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for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Reconciling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Gender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Equality</w:t>
            </w:r>
            <w:proofErr w:type="spellEnd"/>
            <w:r w:rsidRPr="008D476E">
              <w:rPr>
                <w:szCs w:val="16"/>
                <w:lang w:val="tr-TR"/>
              </w:rPr>
              <w:t>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lastRenderedPageBreak/>
              <w:t>The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Catholic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Chuch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8D476E">
              <w:rPr>
                <w:szCs w:val="16"/>
                <w:lang w:val="tr-TR"/>
              </w:rPr>
              <w:t>Women:The</w:t>
            </w:r>
            <w:proofErr w:type="spellEnd"/>
            <w:proofErr w:type="gram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Divergence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Between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What</w:t>
            </w:r>
            <w:proofErr w:type="spellEnd"/>
            <w:r w:rsidRPr="008D476E">
              <w:rPr>
                <w:szCs w:val="16"/>
                <w:lang w:val="tr-TR"/>
              </w:rPr>
              <w:t xml:space="preserve"> is Said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what</w:t>
            </w:r>
            <w:proofErr w:type="spellEnd"/>
            <w:r w:rsidRPr="008D476E">
              <w:rPr>
                <w:szCs w:val="16"/>
                <w:lang w:val="tr-TR"/>
              </w:rPr>
              <w:t xml:space="preserve"> is </w:t>
            </w:r>
            <w:proofErr w:type="spellStart"/>
            <w:r w:rsidRPr="008D476E">
              <w:rPr>
                <w:szCs w:val="16"/>
                <w:lang w:val="tr-TR"/>
              </w:rPr>
              <w:t>heard</w:t>
            </w:r>
            <w:proofErr w:type="spellEnd"/>
            <w:r w:rsidRPr="008D476E">
              <w:rPr>
                <w:szCs w:val="16"/>
                <w:lang w:val="tr-TR"/>
              </w:rPr>
              <w:t xml:space="preserve">. </w:t>
            </w:r>
            <w:proofErr w:type="spellStart"/>
            <w:r w:rsidRPr="008D476E">
              <w:rPr>
                <w:szCs w:val="16"/>
                <w:lang w:val="tr-TR"/>
              </w:rPr>
              <w:t>Emily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Albrink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Hartigan</w:t>
            </w:r>
            <w:proofErr w:type="spellEnd"/>
            <w:r w:rsidRPr="008D476E">
              <w:rPr>
                <w:szCs w:val="16"/>
                <w:lang w:val="tr-TR"/>
              </w:rPr>
              <w:t xml:space="preserve"> inside </w:t>
            </w:r>
            <w:proofErr w:type="spellStart"/>
            <w:r w:rsidRPr="008D476E">
              <w:rPr>
                <w:szCs w:val="16"/>
                <w:lang w:val="tr-TR"/>
              </w:rPr>
              <w:t>Feminism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Law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, Marie A. </w:t>
            </w:r>
            <w:proofErr w:type="spellStart"/>
            <w:r w:rsidRPr="008D476E">
              <w:rPr>
                <w:szCs w:val="16"/>
                <w:lang w:val="tr-TR"/>
              </w:rPr>
              <w:t>Failinger</w:t>
            </w:r>
            <w:proofErr w:type="spellEnd"/>
            <w:r w:rsidRPr="008D476E">
              <w:rPr>
                <w:szCs w:val="16"/>
                <w:lang w:val="tr-TR"/>
              </w:rPr>
              <w:t xml:space="preserve">, Elizabeth R. </w:t>
            </w:r>
            <w:proofErr w:type="spellStart"/>
            <w:r w:rsidRPr="008D476E">
              <w:rPr>
                <w:szCs w:val="16"/>
                <w:lang w:val="tr-TR"/>
              </w:rPr>
              <w:t>Schiltz</w:t>
            </w:r>
            <w:proofErr w:type="spellEnd"/>
            <w:r w:rsidRPr="008D476E">
              <w:rPr>
                <w:szCs w:val="16"/>
                <w:lang w:val="tr-TR"/>
              </w:rPr>
              <w:t xml:space="preserve">, Susan J. Stabile, </w:t>
            </w:r>
            <w:proofErr w:type="spellStart"/>
            <w:r w:rsidRPr="008D476E">
              <w:rPr>
                <w:szCs w:val="16"/>
                <w:lang w:val="tr-TR"/>
              </w:rPr>
              <w:t>Ashgate</w:t>
            </w:r>
            <w:proofErr w:type="spellEnd"/>
            <w:r w:rsidRPr="008D476E">
              <w:rPr>
                <w:szCs w:val="16"/>
                <w:lang w:val="tr-TR"/>
              </w:rPr>
              <w:t xml:space="preserve"> Publishing pp.63-85.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Naomi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Greatz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Jewish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Law</w:t>
            </w:r>
            <w:proofErr w:type="spellEnd"/>
            <w:r w:rsidRPr="008D476E">
              <w:rPr>
                <w:szCs w:val="16"/>
                <w:lang w:val="tr-TR"/>
              </w:rPr>
              <w:t xml:space="preserve">: </w:t>
            </w:r>
            <w:proofErr w:type="spellStart"/>
            <w:r w:rsidRPr="008D476E">
              <w:rPr>
                <w:szCs w:val="16"/>
                <w:lang w:val="tr-TR"/>
              </w:rPr>
              <w:t>the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case</w:t>
            </w:r>
            <w:proofErr w:type="spellEnd"/>
            <w:r w:rsidRPr="008D476E">
              <w:rPr>
                <w:szCs w:val="16"/>
                <w:lang w:val="tr-TR"/>
              </w:rPr>
              <w:t xml:space="preserve"> of </w:t>
            </w:r>
            <w:proofErr w:type="spellStart"/>
            <w:r w:rsidRPr="008D476E">
              <w:rPr>
                <w:szCs w:val="16"/>
                <w:lang w:val="tr-TR"/>
              </w:rPr>
              <w:t>wifebeating</w:t>
            </w:r>
            <w:proofErr w:type="spellEnd"/>
            <w:r w:rsidRPr="008D476E">
              <w:rPr>
                <w:szCs w:val="16"/>
                <w:lang w:val="tr-TR"/>
              </w:rPr>
              <w:t xml:space="preserve"> inside </w:t>
            </w:r>
            <w:proofErr w:type="spellStart"/>
            <w:r w:rsidRPr="008D476E">
              <w:rPr>
                <w:szCs w:val="16"/>
                <w:lang w:val="tr-TR"/>
              </w:rPr>
              <w:t>Feminism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Law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, Marie A. </w:t>
            </w:r>
            <w:proofErr w:type="spellStart"/>
            <w:r w:rsidRPr="008D476E">
              <w:rPr>
                <w:szCs w:val="16"/>
                <w:lang w:val="tr-TR"/>
              </w:rPr>
              <w:t>Failinger</w:t>
            </w:r>
            <w:proofErr w:type="spellEnd"/>
            <w:r w:rsidRPr="008D476E">
              <w:rPr>
                <w:szCs w:val="16"/>
                <w:lang w:val="tr-TR"/>
              </w:rPr>
              <w:t xml:space="preserve">, Elizabeth R. </w:t>
            </w:r>
            <w:proofErr w:type="spellStart"/>
            <w:r w:rsidRPr="008D476E">
              <w:rPr>
                <w:szCs w:val="16"/>
                <w:lang w:val="tr-TR"/>
              </w:rPr>
              <w:t>Schiltz</w:t>
            </w:r>
            <w:proofErr w:type="spellEnd"/>
            <w:r w:rsidRPr="008D476E">
              <w:rPr>
                <w:szCs w:val="16"/>
                <w:lang w:val="tr-TR"/>
              </w:rPr>
              <w:t xml:space="preserve">, Susan J. Stabile, </w:t>
            </w:r>
            <w:proofErr w:type="spellStart"/>
            <w:r w:rsidRPr="008D476E">
              <w:rPr>
                <w:szCs w:val="16"/>
                <w:lang w:val="tr-TR"/>
              </w:rPr>
              <w:t>Ashgate</w:t>
            </w:r>
            <w:proofErr w:type="spellEnd"/>
            <w:r w:rsidRPr="008D476E">
              <w:rPr>
                <w:szCs w:val="16"/>
                <w:lang w:val="tr-TR"/>
              </w:rPr>
              <w:t xml:space="preserve"> Publishing. Pp.307-327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Sugirtharajah</w:t>
            </w:r>
            <w:proofErr w:type="spellEnd"/>
            <w:r w:rsidRPr="008D476E">
              <w:rPr>
                <w:szCs w:val="16"/>
                <w:lang w:val="tr-TR"/>
              </w:rPr>
              <w:t>,</w:t>
            </w:r>
            <w:r w:rsidRPr="008D476E">
              <w:rPr>
                <w:szCs w:val="16"/>
                <w:lang w:val="tr-TR"/>
              </w:rPr>
              <w:tab/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Sharada</w:t>
            </w:r>
            <w:proofErr w:type="spellEnd"/>
            <w:r w:rsidRPr="008D476E">
              <w:rPr>
                <w:szCs w:val="16"/>
                <w:lang w:val="tr-TR"/>
              </w:rPr>
              <w:t>.  "</w:t>
            </w:r>
            <w:proofErr w:type="spellStart"/>
            <w:proofErr w:type="gramStart"/>
            <w:r w:rsidRPr="008D476E">
              <w:rPr>
                <w:szCs w:val="16"/>
                <w:lang w:val="tr-TR"/>
              </w:rPr>
              <w:t>Hinduism</w:t>
            </w:r>
            <w:proofErr w:type="spellEnd"/>
            <w:r w:rsidRPr="008D476E">
              <w:rPr>
                <w:szCs w:val="16"/>
                <w:lang w:val="tr-TR"/>
              </w:rPr>
              <w:t xml:space="preserve"> 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proofErr w:type="gram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feminism</w:t>
            </w:r>
            <w:proofErr w:type="spellEnd"/>
            <w:r w:rsidRPr="008D476E">
              <w:rPr>
                <w:szCs w:val="16"/>
                <w:lang w:val="tr-TR"/>
              </w:rPr>
              <w:t xml:space="preserve">: </w:t>
            </w:r>
            <w:proofErr w:type="spellStart"/>
            <w:r w:rsidRPr="008D476E">
              <w:rPr>
                <w:szCs w:val="16"/>
                <w:lang w:val="tr-TR"/>
              </w:rPr>
              <w:t>some</w:t>
            </w:r>
            <w:proofErr w:type="spellEnd"/>
            <w:r w:rsidRPr="008D476E">
              <w:rPr>
                <w:szCs w:val="16"/>
                <w:lang w:val="tr-TR"/>
              </w:rPr>
              <w:t xml:space="preserve">  </w:t>
            </w:r>
            <w:proofErr w:type="spellStart"/>
            <w:r w:rsidRPr="008D476E">
              <w:rPr>
                <w:szCs w:val="16"/>
                <w:lang w:val="tr-TR"/>
              </w:rPr>
              <w:t>concerns</w:t>
            </w:r>
            <w:proofErr w:type="spellEnd"/>
            <w:r w:rsidRPr="008D476E">
              <w:rPr>
                <w:szCs w:val="16"/>
                <w:lang w:val="tr-TR"/>
              </w:rPr>
              <w:t xml:space="preserve">." </w:t>
            </w:r>
            <w:proofErr w:type="spellStart"/>
            <w:r w:rsidRPr="008D476E">
              <w:rPr>
                <w:szCs w:val="16"/>
                <w:lang w:val="tr-TR"/>
              </w:rPr>
              <w:t>Journal</w:t>
            </w:r>
            <w:proofErr w:type="spellEnd"/>
            <w:r w:rsidRPr="008D476E">
              <w:rPr>
                <w:szCs w:val="16"/>
                <w:lang w:val="tr-TR"/>
              </w:rPr>
              <w:t xml:space="preserve"> of Feminist </w:t>
            </w:r>
            <w:proofErr w:type="spellStart"/>
            <w:r w:rsidRPr="008D476E">
              <w:rPr>
                <w:szCs w:val="16"/>
                <w:lang w:val="tr-TR"/>
              </w:rPr>
              <w:t>Studies</w:t>
            </w:r>
            <w:proofErr w:type="spellEnd"/>
            <w:r w:rsidRPr="008D476E">
              <w:rPr>
                <w:szCs w:val="16"/>
                <w:lang w:val="tr-TR"/>
              </w:rPr>
              <w:t xml:space="preserve"> in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>. 18.2 (2002):</w:t>
            </w:r>
            <w:r w:rsidRPr="008D476E">
              <w:rPr>
                <w:szCs w:val="16"/>
                <w:lang w:val="tr-TR"/>
              </w:rPr>
              <w:tab/>
              <w:t>97.</w:t>
            </w:r>
            <w:r w:rsidRPr="008D476E">
              <w:rPr>
                <w:szCs w:val="16"/>
                <w:lang w:val="tr-TR"/>
              </w:rPr>
              <w:tab/>
              <w:t xml:space="preserve">  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Humes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Cynthia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Ann</w:t>
            </w:r>
            <w:proofErr w:type="spellEnd"/>
            <w:r w:rsidRPr="008D476E">
              <w:rPr>
                <w:szCs w:val="16"/>
                <w:lang w:val="tr-TR"/>
              </w:rPr>
              <w:t>. “</w:t>
            </w:r>
            <w:proofErr w:type="spellStart"/>
            <w:r w:rsidRPr="008D476E">
              <w:rPr>
                <w:szCs w:val="16"/>
                <w:lang w:val="tr-TR"/>
              </w:rPr>
              <w:t>Becoming</w:t>
            </w:r>
            <w:proofErr w:type="spellEnd"/>
            <w:r w:rsidRPr="008D476E">
              <w:rPr>
                <w:szCs w:val="16"/>
                <w:lang w:val="tr-TR"/>
              </w:rPr>
              <w:t xml:space="preserve"> Male: </w:t>
            </w:r>
            <w:proofErr w:type="spellStart"/>
            <w:r w:rsidRPr="008D476E">
              <w:rPr>
                <w:szCs w:val="16"/>
                <w:lang w:val="tr-TR"/>
              </w:rPr>
              <w:t>Salvation</w:t>
            </w:r>
            <w:proofErr w:type="spellEnd"/>
            <w:r w:rsidRPr="008D476E">
              <w:rPr>
                <w:szCs w:val="16"/>
                <w:lang w:val="tr-TR"/>
              </w:rPr>
              <w:t xml:space="preserve"> Through </w:t>
            </w:r>
            <w:proofErr w:type="spellStart"/>
            <w:r w:rsidRPr="008D476E">
              <w:rPr>
                <w:szCs w:val="16"/>
                <w:lang w:val="tr-TR"/>
              </w:rPr>
              <w:t>Gender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Modification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gramStart"/>
            <w:r w:rsidRPr="008D476E">
              <w:rPr>
                <w:szCs w:val="16"/>
                <w:lang w:val="tr-TR"/>
              </w:rPr>
              <w:t xml:space="preserve">in  </w:t>
            </w:r>
            <w:proofErr w:type="spellStart"/>
            <w:r w:rsidRPr="008D476E">
              <w:rPr>
                <w:szCs w:val="16"/>
                <w:lang w:val="tr-TR"/>
              </w:rPr>
              <w:t>Hinduism</w:t>
            </w:r>
            <w:proofErr w:type="spellEnd"/>
            <w:proofErr w:type="gram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Buddhism</w:t>
            </w:r>
            <w:proofErr w:type="spellEnd"/>
            <w:r w:rsidRPr="008D476E">
              <w:rPr>
                <w:szCs w:val="16"/>
                <w:lang w:val="tr-TR"/>
              </w:rPr>
              <w:t xml:space="preserve">.” </w:t>
            </w:r>
            <w:proofErr w:type="spellStart"/>
            <w:r w:rsidRPr="008D476E">
              <w:rPr>
                <w:szCs w:val="16"/>
                <w:lang w:val="tr-TR"/>
              </w:rPr>
              <w:t>Gender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Reversals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Gender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Cultures</w:t>
            </w:r>
            <w:proofErr w:type="spellEnd"/>
            <w:r w:rsidRPr="008D476E">
              <w:rPr>
                <w:szCs w:val="16"/>
                <w:lang w:val="tr-TR"/>
              </w:rPr>
              <w:t xml:space="preserve">: </w:t>
            </w:r>
            <w:proofErr w:type="spellStart"/>
            <w:r w:rsidRPr="008D476E">
              <w:rPr>
                <w:szCs w:val="16"/>
                <w:lang w:val="tr-TR"/>
              </w:rPr>
              <w:t>Anthropological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Historical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Perspectives</w:t>
            </w:r>
            <w:proofErr w:type="spellEnd"/>
            <w:r w:rsidRPr="008D476E">
              <w:rPr>
                <w:szCs w:val="16"/>
                <w:lang w:val="tr-TR"/>
              </w:rPr>
              <w:t xml:space="preserve">. </w:t>
            </w:r>
            <w:proofErr w:type="spellStart"/>
            <w:r w:rsidRPr="008D476E">
              <w:rPr>
                <w:szCs w:val="16"/>
                <w:lang w:val="tr-TR"/>
              </w:rPr>
              <w:t>Ramet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Sabrina</w:t>
            </w:r>
            <w:proofErr w:type="spellEnd"/>
            <w:r w:rsidRPr="008D476E">
              <w:rPr>
                <w:szCs w:val="16"/>
                <w:lang w:val="tr-TR"/>
              </w:rPr>
              <w:t xml:space="preserve"> P. (Ed.) </w:t>
            </w:r>
            <w:proofErr w:type="spellStart"/>
            <w:r w:rsidRPr="008D476E">
              <w:rPr>
                <w:szCs w:val="16"/>
                <w:lang w:val="tr-TR"/>
              </w:rPr>
              <w:t>London</w:t>
            </w:r>
            <w:proofErr w:type="spellEnd"/>
            <w:r w:rsidRPr="008D476E">
              <w:rPr>
                <w:szCs w:val="16"/>
                <w:lang w:val="tr-TR"/>
              </w:rPr>
              <w:t xml:space="preserve">: </w:t>
            </w:r>
            <w:proofErr w:type="spellStart"/>
            <w:r w:rsidRPr="008D476E">
              <w:rPr>
                <w:szCs w:val="16"/>
                <w:lang w:val="tr-TR"/>
              </w:rPr>
              <w:t>Routledge</w:t>
            </w:r>
            <w:proofErr w:type="spellEnd"/>
            <w:r w:rsidRPr="008D476E">
              <w:rPr>
                <w:szCs w:val="16"/>
                <w:lang w:val="tr-TR"/>
              </w:rPr>
              <w:t>, 1996: 123-137.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Bracke</w:t>
            </w:r>
            <w:proofErr w:type="spellEnd"/>
            <w:r w:rsidRPr="008D476E">
              <w:rPr>
                <w:szCs w:val="16"/>
                <w:lang w:val="tr-TR"/>
              </w:rPr>
              <w:t xml:space="preserve">, S. </w:t>
            </w:r>
            <w:proofErr w:type="spellStart"/>
            <w:r w:rsidRPr="008D476E">
              <w:rPr>
                <w:szCs w:val="16"/>
                <w:lang w:val="tr-TR"/>
              </w:rPr>
              <w:t>Fadil</w:t>
            </w:r>
            <w:proofErr w:type="spellEnd"/>
            <w:r w:rsidRPr="008D476E">
              <w:rPr>
                <w:szCs w:val="16"/>
                <w:lang w:val="tr-TR"/>
              </w:rPr>
              <w:t xml:space="preserve"> N. (2011) ‘Is </w:t>
            </w:r>
            <w:proofErr w:type="spellStart"/>
            <w:r w:rsidRPr="008D476E">
              <w:rPr>
                <w:szCs w:val="16"/>
                <w:lang w:val="tr-TR"/>
              </w:rPr>
              <w:t>the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headscarf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oppressive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or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Emancipatory</w:t>
            </w:r>
            <w:proofErr w:type="spellEnd"/>
            <w:r w:rsidRPr="008D476E">
              <w:rPr>
                <w:szCs w:val="16"/>
                <w:lang w:val="tr-TR"/>
              </w:rPr>
              <w:t xml:space="preserve">? </w:t>
            </w:r>
            <w:proofErr w:type="spellStart"/>
            <w:r w:rsidRPr="008D476E">
              <w:rPr>
                <w:szCs w:val="16"/>
                <w:lang w:val="tr-TR"/>
              </w:rPr>
              <w:t>Field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Ntes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from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the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multicultural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debates</w:t>
            </w:r>
            <w:proofErr w:type="spellEnd"/>
            <w:r w:rsidRPr="008D476E">
              <w:rPr>
                <w:szCs w:val="16"/>
                <w:lang w:val="tr-TR"/>
              </w:rPr>
              <w:t>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Gender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Religious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Mobilization</w:t>
            </w:r>
            <w:proofErr w:type="spellEnd"/>
            <w:r w:rsidRPr="008D476E">
              <w:rPr>
                <w:szCs w:val="16"/>
                <w:lang w:val="tr-TR"/>
              </w:rPr>
              <w:t xml:space="preserve">: Global Value </w:t>
            </w:r>
            <w:proofErr w:type="spellStart"/>
            <w:r w:rsidRPr="008D476E">
              <w:rPr>
                <w:szCs w:val="16"/>
                <w:lang w:val="tr-TR"/>
              </w:rPr>
              <w:t>Surveys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Beyond, </w:t>
            </w:r>
            <w:proofErr w:type="spellStart"/>
            <w:r w:rsidRPr="008D476E">
              <w:rPr>
                <w:szCs w:val="16"/>
                <w:lang w:val="tr-TR"/>
              </w:rPr>
              <w:t>Clyde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Wilcox</w:t>
            </w:r>
            <w:proofErr w:type="spellEnd"/>
            <w:r w:rsidRPr="008D476E">
              <w:rPr>
                <w:szCs w:val="16"/>
                <w:lang w:val="tr-TR"/>
              </w:rPr>
              <w:t xml:space="preserve"> pp.85-99.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Shaking</w:t>
            </w:r>
            <w:proofErr w:type="spellEnd"/>
            <w:r w:rsidRPr="008D476E">
              <w:rPr>
                <w:szCs w:val="16"/>
                <w:lang w:val="tr-TR"/>
              </w:rPr>
              <w:t xml:space="preserve"> Hands, </w:t>
            </w:r>
            <w:proofErr w:type="spellStart"/>
            <w:r w:rsidRPr="008D476E">
              <w:rPr>
                <w:szCs w:val="16"/>
                <w:lang w:val="tr-TR"/>
              </w:rPr>
              <w:t>Shaking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Theologies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Lene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Sjørup</w:t>
            </w:r>
            <w:proofErr w:type="spellEnd"/>
            <w:r w:rsidRPr="008D476E">
              <w:rPr>
                <w:szCs w:val="16"/>
                <w:lang w:val="tr-TR"/>
              </w:rPr>
              <w:t xml:space="preserve">’ pp.99-122 inside </w:t>
            </w:r>
            <w:proofErr w:type="spellStart"/>
            <w:r w:rsidRPr="008D476E">
              <w:rPr>
                <w:szCs w:val="16"/>
                <w:lang w:val="tr-TR"/>
              </w:rPr>
              <w:t>Pieties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Gender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Edited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by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Lene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Sjørup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Hilda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Rømer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Christensen</w:t>
            </w:r>
            <w:proofErr w:type="spellEnd"/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D476E">
              <w:rPr>
                <w:szCs w:val="16"/>
                <w:lang w:val="tr-TR"/>
              </w:rPr>
              <w:t>Perry, Barbara (2013). "</w:t>
            </w:r>
            <w:proofErr w:type="spellStart"/>
            <w:r w:rsidRPr="008D476E">
              <w:rPr>
                <w:szCs w:val="16"/>
                <w:lang w:val="tr-TR"/>
              </w:rPr>
              <w:t>Gendered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Islamophobia</w:t>
            </w:r>
            <w:proofErr w:type="spellEnd"/>
            <w:r w:rsidRPr="008D476E">
              <w:rPr>
                <w:szCs w:val="16"/>
                <w:lang w:val="tr-TR"/>
              </w:rPr>
              <w:t xml:space="preserve">: </w:t>
            </w:r>
            <w:proofErr w:type="spellStart"/>
            <w:r w:rsidRPr="008D476E">
              <w:rPr>
                <w:szCs w:val="16"/>
                <w:lang w:val="tr-TR"/>
              </w:rPr>
              <w:t>hate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crime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against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Muslim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women</w:t>
            </w:r>
            <w:proofErr w:type="spellEnd"/>
            <w:r w:rsidRPr="008D476E">
              <w:rPr>
                <w:szCs w:val="16"/>
                <w:lang w:val="tr-TR"/>
              </w:rPr>
              <w:t xml:space="preserve">" </w:t>
            </w:r>
            <w:proofErr w:type="spellStart"/>
            <w:r w:rsidRPr="008D476E">
              <w:rPr>
                <w:szCs w:val="16"/>
                <w:lang w:val="tr-TR"/>
              </w:rPr>
              <w:t>Social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Identities</w:t>
            </w:r>
            <w:proofErr w:type="spellEnd"/>
            <w:r w:rsidRPr="008D476E">
              <w:rPr>
                <w:szCs w:val="16"/>
                <w:lang w:val="tr-TR"/>
              </w:rPr>
              <w:t xml:space="preserve">: </w:t>
            </w:r>
            <w:proofErr w:type="spellStart"/>
            <w:r w:rsidRPr="008D476E">
              <w:rPr>
                <w:szCs w:val="16"/>
                <w:lang w:val="tr-TR"/>
              </w:rPr>
              <w:t>Journal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for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the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Study</w:t>
            </w:r>
            <w:proofErr w:type="spellEnd"/>
            <w:r w:rsidRPr="008D476E">
              <w:rPr>
                <w:szCs w:val="16"/>
                <w:lang w:val="tr-TR"/>
              </w:rPr>
              <w:t xml:space="preserve"> of </w:t>
            </w:r>
            <w:proofErr w:type="spellStart"/>
            <w:r w:rsidRPr="008D476E">
              <w:rPr>
                <w:szCs w:val="16"/>
                <w:lang w:val="tr-TR"/>
              </w:rPr>
              <w:t>Race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Nation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Culture</w:t>
            </w:r>
            <w:proofErr w:type="spellEnd"/>
            <w:r w:rsidRPr="008D476E">
              <w:rPr>
                <w:szCs w:val="16"/>
                <w:lang w:val="tr-TR"/>
              </w:rPr>
              <w:t xml:space="preserve">, Taylor &amp; Francis, </w:t>
            </w:r>
            <w:proofErr w:type="spellStart"/>
            <w:r w:rsidRPr="008D476E">
              <w:rPr>
                <w:szCs w:val="16"/>
                <w:lang w:val="tr-TR"/>
              </w:rPr>
              <w:t>pp</w:t>
            </w:r>
            <w:proofErr w:type="spellEnd"/>
            <w:r w:rsidRPr="008D476E">
              <w:rPr>
                <w:szCs w:val="16"/>
                <w:lang w:val="tr-TR"/>
              </w:rPr>
              <w:t>. 1-16.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Violence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Against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Women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the</w:t>
            </w:r>
            <w:proofErr w:type="spellEnd"/>
            <w:r w:rsidRPr="008D476E">
              <w:rPr>
                <w:szCs w:val="16"/>
                <w:lang w:val="tr-TR"/>
              </w:rPr>
              <w:t xml:space="preserve"> Role of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, Marie M. </w:t>
            </w:r>
            <w:proofErr w:type="spellStart"/>
            <w:r w:rsidRPr="008D476E">
              <w:rPr>
                <w:szCs w:val="16"/>
                <w:lang w:val="tr-TR"/>
              </w:rPr>
              <w:t>Fortune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Rabbi </w:t>
            </w:r>
            <w:proofErr w:type="spellStart"/>
            <w:r w:rsidRPr="008D476E">
              <w:rPr>
                <w:szCs w:val="16"/>
                <w:lang w:val="tr-TR"/>
              </w:rPr>
              <w:t>Cindy</w:t>
            </w:r>
            <w:proofErr w:type="spellEnd"/>
            <w:r w:rsidRPr="008D476E">
              <w:rPr>
                <w:szCs w:val="16"/>
                <w:lang w:val="tr-TR"/>
              </w:rPr>
              <w:t xml:space="preserve"> G. </w:t>
            </w:r>
            <w:proofErr w:type="spellStart"/>
            <w:proofErr w:type="gramStart"/>
            <w:r w:rsidRPr="008D476E">
              <w:rPr>
                <w:szCs w:val="16"/>
                <w:lang w:val="tr-TR"/>
              </w:rPr>
              <w:t>Enger</w:t>
            </w:r>
            <w:proofErr w:type="spellEnd"/>
            <w:r w:rsidRPr="008D476E">
              <w:rPr>
                <w:szCs w:val="16"/>
                <w:lang w:val="tr-TR"/>
              </w:rPr>
              <w:t xml:space="preserve"> , </w:t>
            </w:r>
            <w:proofErr w:type="spellStart"/>
            <w:r w:rsidRPr="008D476E">
              <w:rPr>
                <w:szCs w:val="16"/>
                <w:lang w:val="tr-TR"/>
              </w:rPr>
              <w:t>National</w:t>
            </w:r>
            <w:proofErr w:type="spellEnd"/>
            <w:proofErr w:type="gramEnd"/>
            <w:r w:rsidRPr="008D476E">
              <w:rPr>
                <w:szCs w:val="16"/>
                <w:lang w:val="tr-TR"/>
              </w:rPr>
              <w:t xml:space="preserve"> Online Resource Center on </w:t>
            </w:r>
            <w:proofErr w:type="spellStart"/>
            <w:r w:rsidRPr="008D476E">
              <w:rPr>
                <w:szCs w:val="16"/>
                <w:lang w:val="tr-TR"/>
              </w:rPr>
              <w:t>Violence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Against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Women</w:t>
            </w:r>
            <w:proofErr w:type="spellEnd"/>
            <w:r w:rsidRPr="008D476E">
              <w:rPr>
                <w:szCs w:val="16"/>
                <w:lang w:val="tr-TR"/>
              </w:rPr>
              <w:t>.</w:t>
            </w:r>
          </w:p>
          <w:p w:rsidR="008D476E" w:rsidRPr="008D476E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D476E">
              <w:rPr>
                <w:szCs w:val="16"/>
                <w:lang w:val="tr-TR"/>
              </w:rPr>
              <w:t>Boellstorff</w:t>
            </w:r>
            <w:proofErr w:type="spellEnd"/>
            <w:r w:rsidRPr="008D476E">
              <w:rPr>
                <w:szCs w:val="16"/>
                <w:lang w:val="tr-TR"/>
              </w:rPr>
              <w:t xml:space="preserve">, T. (2005) </w:t>
            </w:r>
            <w:proofErr w:type="spellStart"/>
            <w:r w:rsidRPr="008D476E">
              <w:rPr>
                <w:szCs w:val="16"/>
                <w:lang w:val="tr-TR"/>
              </w:rPr>
              <w:t>Between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8D476E">
              <w:rPr>
                <w:szCs w:val="16"/>
                <w:lang w:val="tr-TR"/>
              </w:rPr>
              <w:t>Desire:Being</w:t>
            </w:r>
            <w:proofErr w:type="spellEnd"/>
            <w:proofErr w:type="gram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Muslim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Gay</w:t>
            </w:r>
            <w:proofErr w:type="spellEnd"/>
            <w:r w:rsidRPr="008D476E">
              <w:rPr>
                <w:szCs w:val="16"/>
                <w:lang w:val="tr-TR"/>
              </w:rPr>
              <w:t xml:space="preserve"> in </w:t>
            </w:r>
            <w:proofErr w:type="spellStart"/>
            <w:r w:rsidRPr="008D476E">
              <w:rPr>
                <w:szCs w:val="16"/>
                <w:lang w:val="tr-TR"/>
              </w:rPr>
              <w:t>Indenosia</w:t>
            </w:r>
            <w:proofErr w:type="spellEnd"/>
          </w:p>
          <w:p w:rsidR="00E87FD4" w:rsidRPr="00795872" w:rsidRDefault="008D476E" w:rsidP="008D47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D476E">
              <w:rPr>
                <w:szCs w:val="16"/>
                <w:lang w:val="tr-TR"/>
              </w:rPr>
              <w:t xml:space="preserve">Media, </w:t>
            </w:r>
            <w:proofErr w:type="spellStart"/>
            <w:r w:rsidRPr="008D476E">
              <w:rPr>
                <w:szCs w:val="16"/>
                <w:lang w:val="tr-TR"/>
              </w:rPr>
              <w:t>Religion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Gender</w:t>
            </w:r>
            <w:proofErr w:type="spellEnd"/>
            <w:r w:rsidRPr="008D476E">
              <w:rPr>
                <w:szCs w:val="16"/>
                <w:lang w:val="tr-TR"/>
              </w:rPr>
              <w:t xml:space="preserve">: </w:t>
            </w:r>
            <w:proofErr w:type="spellStart"/>
            <w:r w:rsidRPr="008D476E">
              <w:rPr>
                <w:szCs w:val="16"/>
                <w:lang w:val="tr-TR"/>
              </w:rPr>
              <w:t>Key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Issues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and</w:t>
            </w:r>
            <w:proofErr w:type="spellEnd"/>
            <w:r w:rsidRPr="008D476E">
              <w:rPr>
                <w:szCs w:val="16"/>
                <w:lang w:val="tr-TR"/>
              </w:rPr>
              <w:t xml:space="preserve"> New </w:t>
            </w:r>
            <w:proofErr w:type="spellStart"/>
            <w:r w:rsidRPr="008D476E">
              <w:rPr>
                <w:szCs w:val="16"/>
                <w:lang w:val="tr-TR"/>
              </w:rPr>
              <w:t>Challenges</w:t>
            </w:r>
            <w:proofErr w:type="spellEnd"/>
            <w:r w:rsidRPr="008D476E">
              <w:rPr>
                <w:szCs w:val="16"/>
                <w:lang w:val="tr-TR"/>
              </w:rPr>
              <w:t xml:space="preserve">, </w:t>
            </w:r>
            <w:proofErr w:type="spellStart"/>
            <w:r w:rsidRPr="008D476E">
              <w:rPr>
                <w:szCs w:val="16"/>
                <w:lang w:val="tr-TR"/>
              </w:rPr>
              <w:t>Edited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by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Mia</w:t>
            </w:r>
            <w:proofErr w:type="spellEnd"/>
            <w:r w:rsidRPr="008D476E">
              <w:rPr>
                <w:szCs w:val="16"/>
                <w:lang w:val="tr-TR"/>
              </w:rPr>
              <w:t xml:space="preserve"> </w:t>
            </w:r>
            <w:proofErr w:type="spellStart"/>
            <w:r w:rsidRPr="008D476E">
              <w:rPr>
                <w:szCs w:val="16"/>
                <w:lang w:val="tr-TR"/>
              </w:rPr>
              <w:t>Lövheim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F2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8D476E">
              <w:rPr>
                <w:szCs w:val="16"/>
              </w:rPr>
              <w:t>-</w:t>
            </w:r>
            <w:r>
              <w:rPr>
                <w:szCs w:val="16"/>
              </w:rPr>
              <w:t xml:space="preserve">0 </w:t>
            </w:r>
            <w:r w:rsidR="008D476E">
              <w:rPr>
                <w:szCs w:val="16"/>
              </w:rPr>
              <w:t>-</w:t>
            </w:r>
            <w:bookmarkStart w:id="0" w:name="_GoBack"/>
            <w:bookmarkEnd w:id="0"/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D47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378F"/>
    <w:multiLevelType w:val="hybridMultilevel"/>
    <w:tmpl w:val="45C88D36"/>
    <w:lvl w:ilvl="0" w:tplc="A2204E82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39680CF8"/>
    <w:multiLevelType w:val="hybridMultilevel"/>
    <w:tmpl w:val="867CD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6620F"/>
    <w:multiLevelType w:val="hybridMultilevel"/>
    <w:tmpl w:val="C70E0570"/>
    <w:lvl w:ilvl="0" w:tplc="5E46042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7CCE3BBF"/>
    <w:multiLevelType w:val="hybridMultilevel"/>
    <w:tmpl w:val="583E9B4A"/>
    <w:lvl w:ilvl="0" w:tplc="3E9AFB2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74431"/>
    <w:rsid w:val="005F0636"/>
    <w:rsid w:val="00795872"/>
    <w:rsid w:val="00832BE3"/>
    <w:rsid w:val="008D476E"/>
    <w:rsid w:val="00AF224D"/>
    <w:rsid w:val="00B6343A"/>
    <w:rsid w:val="00BC32DD"/>
    <w:rsid w:val="00E87FD4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FE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FE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2019-04-05T15:38:00Z</dcterms:created>
  <dcterms:modified xsi:type="dcterms:W3CDTF">2019-04-05T16:56:00Z</dcterms:modified>
</cp:coreProperties>
</file>