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72" w:rsidRPr="00B05B13" w:rsidRDefault="00B05B13" w:rsidP="00B05B13">
      <w:pPr>
        <w:jc w:val="center"/>
        <w:rPr>
          <w:b/>
        </w:rPr>
      </w:pPr>
      <w:r w:rsidRPr="00B05B13">
        <w:rPr>
          <w:b/>
        </w:rPr>
        <w:t xml:space="preserve">JFM319 </w:t>
      </w:r>
      <w:proofErr w:type="spellStart"/>
      <w:r w:rsidRPr="00B05B13">
        <w:rPr>
          <w:b/>
        </w:rPr>
        <w:t>Mühendislik</w:t>
      </w:r>
      <w:proofErr w:type="spellEnd"/>
      <w:r w:rsidRPr="00B05B13">
        <w:rPr>
          <w:b/>
        </w:rPr>
        <w:t xml:space="preserve"> </w:t>
      </w:r>
      <w:proofErr w:type="spellStart"/>
      <w:r w:rsidRPr="00B05B13">
        <w:rPr>
          <w:b/>
        </w:rPr>
        <w:t>Jeolojisi</w:t>
      </w:r>
      <w:proofErr w:type="spellEnd"/>
    </w:p>
    <w:p w:rsidR="00B05B13" w:rsidRPr="00B05B13" w:rsidRDefault="00B05B13" w:rsidP="00B05B13">
      <w:pPr>
        <w:jc w:val="center"/>
        <w:rPr>
          <w:b/>
        </w:rPr>
      </w:pPr>
      <w:r w:rsidRPr="00B05B13">
        <w:rPr>
          <w:b/>
        </w:rPr>
        <w:t xml:space="preserve">Ders </w:t>
      </w:r>
      <w:proofErr w:type="spellStart"/>
      <w:r w:rsidRPr="00B05B13">
        <w:rPr>
          <w:b/>
        </w:rPr>
        <w:t>İçeriği</w:t>
      </w:r>
      <w:proofErr w:type="spellEnd"/>
    </w:p>
    <w:p w:rsidR="00B05B13" w:rsidRDefault="00B05B13"/>
    <w:p w:rsidR="00B05B13" w:rsidRDefault="00B05B13" w:rsidP="00B05B13">
      <w:pPr>
        <w:jc w:val="both"/>
      </w:pPr>
      <w:proofErr w:type="spellStart"/>
      <w:r>
        <w:t>Dersin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amacı</w:t>
      </w:r>
      <w:proofErr w:type="spellEnd"/>
      <w:r>
        <w:t xml:space="preserve">, </w:t>
      </w:r>
      <w:proofErr w:type="spellStart"/>
      <w:r>
        <w:t>jeolojik</w:t>
      </w:r>
      <w:proofErr w:type="spellEnd"/>
      <w:r>
        <w:t xml:space="preserve"> </w:t>
      </w:r>
      <w:proofErr w:type="spellStart"/>
      <w:r>
        <w:t>malzemenin</w:t>
      </w:r>
      <w:proofErr w:type="spellEnd"/>
      <w:r>
        <w:t xml:space="preserve"> </w:t>
      </w:r>
      <w:proofErr w:type="spellStart"/>
      <w:r>
        <w:t>sanat</w:t>
      </w:r>
      <w:proofErr w:type="spellEnd"/>
      <w:r>
        <w:t xml:space="preserve"> </w:t>
      </w:r>
      <w:proofErr w:type="spellStart"/>
      <w:r>
        <w:t>yapılarında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, </w:t>
      </w:r>
      <w:proofErr w:type="spellStart"/>
      <w:r>
        <w:t>dolgu</w:t>
      </w:r>
      <w:proofErr w:type="spellEnd"/>
      <w:r>
        <w:t xml:space="preserve"> ve </w:t>
      </w:r>
      <w:proofErr w:type="spellStart"/>
      <w:r>
        <w:t>kazı</w:t>
      </w:r>
      <w:proofErr w:type="spellEnd"/>
      <w:r>
        <w:t xml:space="preserve"> </w:t>
      </w:r>
      <w:proofErr w:type="spellStart"/>
      <w:r>
        <w:t>işlerindeki</w:t>
      </w:r>
      <w:proofErr w:type="spellEnd"/>
      <w:r>
        <w:t xml:space="preserve"> </w:t>
      </w:r>
      <w:proofErr w:type="spellStart"/>
      <w:r>
        <w:t>davranışlarını</w:t>
      </w:r>
      <w:proofErr w:type="spellEnd"/>
      <w:r>
        <w:t xml:space="preserve"> </w:t>
      </w:r>
      <w:proofErr w:type="spellStart"/>
      <w:r>
        <w:t>incelemektir</w:t>
      </w:r>
      <w:proofErr w:type="spellEnd"/>
      <w:r>
        <w:t xml:space="preserve">. Bu </w:t>
      </w:r>
      <w:proofErr w:type="spellStart"/>
      <w:r>
        <w:t>kapsamda</w:t>
      </w:r>
      <w:proofErr w:type="spellEnd"/>
      <w:r>
        <w:t xml:space="preserve">; </w:t>
      </w:r>
      <w:proofErr w:type="spellStart"/>
      <w:r>
        <w:t>doğal</w:t>
      </w:r>
      <w:proofErr w:type="spellEnd"/>
      <w:r>
        <w:t xml:space="preserve"> </w:t>
      </w:r>
      <w:proofErr w:type="spellStart"/>
      <w:r>
        <w:t>yamaç</w:t>
      </w:r>
      <w:proofErr w:type="spellEnd"/>
      <w:r>
        <w:t xml:space="preserve"> ve </w:t>
      </w:r>
      <w:proofErr w:type="spellStart"/>
      <w:r>
        <w:t>şevlerin</w:t>
      </w:r>
      <w:proofErr w:type="spellEnd"/>
      <w:r>
        <w:t xml:space="preserve"> </w:t>
      </w:r>
      <w:proofErr w:type="spellStart"/>
      <w:r>
        <w:t>duraylılığı</w:t>
      </w:r>
      <w:proofErr w:type="spellEnd"/>
      <w:r>
        <w:t xml:space="preserve">, </w:t>
      </w:r>
      <w:proofErr w:type="spellStart"/>
      <w:r>
        <w:t>baraj</w:t>
      </w:r>
      <w:proofErr w:type="spellEnd"/>
      <w:r>
        <w:t xml:space="preserve"> ve </w:t>
      </w:r>
      <w:proofErr w:type="spellStart"/>
      <w:r>
        <w:t>tünel</w:t>
      </w:r>
      <w:proofErr w:type="spellEnd"/>
      <w:r>
        <w:t xml:space="preserve"> </w:t>
      </w:r>
      <w:proofErr w:type="spellStart"/>
      <w:r>
        <w:t>yapılarında</w:t>
      </w:r>
      <w:proofErr w:type="spellEnd"/>
      <w:r>
        <w:t xml:space="preserve"> </w:t>
      </w:r>
      <w:proofErr w:type="spellStart"/>
      <w:r>
        <w:t>jeolojik</w:t>
      </w:r>
      <w:proofErr w:type="spellEnd"/>
      <w:r>
        <w:t xml:space="preserve"> </w:t>
      </w:r>
      <w:proofErr w:type="spellStart"/>
      <w:r>
        <w:t>birimlerin</w:t>
      </w:r>
      <w:proofErr w:type="spellEnd"/>
      <w:r>
        <w:t xml:space="preserve"> </w:t>
      </w:r>
      <w:proofErr w:type="spellStart"/>
      <w:r>
        <w:t>davranışlarının</w:t>
      </w:r>
      <w:proofErr w:type="spellEnd"/>
      <w:r>
        <w:t xml:space="preserve"> </w:t>
      </w:r>
      <w:proofErr w:type="spellStart"/>
      <w:r>
        <w:t>incelenmesidir</w:t>
      </w:r>
      <w:proofErr w:type="spellEnd"/>
      <w:r>
        <w:t xml:space="preserve">. </w:t>
      </w:r>
      <w:proofErr w:type="spellStart"/>
      <w:r>
        <w:t>Arazide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jeolojisi</w:t>
      </w:r>
      <w:proofErr w:type="spellEnd"/>
      <w:r>
        <w:t xml:space="preserve"> </w:t>
      </w:r>
      <w:proofErr w:type="spellStart"/>
      <w:r>
        <w:t>çalışmaları</w:t>
      </w:r>
      <w:proofErr w:type="spellEnd"/>
      <w:r>
        <w:t xml:space="preserve"> ve </w:t>
      </w:r>
      <w:proofErr w:type="spellStart"/>
      <w:r>
        <w:t>haritalama</w:t>
      </w:r>
      <w:proofErr w:type="spellEnd"/>
      <w:r>
        <w:t xml:space="preserve"> </w:t>
      </w:r>
      <w:proofErr w:type="spellStart"/>
      <w:r>
        <w:t>yöntemleri</w:t>
      </w:r>
      <w:proofErr w:type="spellEnd"/>
      <w:r>
        <w:t xml:space="preserve">,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kazılarındaki</w:t>
      </w:r>
      <w:proofErr w:type="spellEnd"/>
      <w:r>
        <w:t xml:space="preserve"> </w:t>
      </w:r>
      <w:proofErr w:type="spellStart"/>
      <w:r>
        <w:t>jeolojik</w:t>
      </w:r>
      <w:proofErr w:type="spellEnd"/>
      <w:r>
        <w:t xml:space="preserve"> </w:t>
      </w:r>
      <w:proofErr w:type="spellStart"/>
      <w:r>
        <w:t>malzemenin</w:t>
      </w:r>
      <w:proofErr w:type="spellEnd"/>
      <w:r>
        <w:t xml:space="preserve"> </w:t>
      </w:r>
      <w:proofErr w:type="spellStart"/>
      <w:r>
        <w:t>davranışı</w:t>
      </w:r>
      <w:proofErr w:type="spellEnd"/>
      <w:r>
        <w:t xml:space="preserve"> </w:t>
      </w:r>
      <w:proofErr w:type="spellStart"/>
      <w:r>
        <w:t>ayrıca</w:t>
      </w:r>
      <w:proofErr w:type="spellEnd"/>
      <w:r>
        <w:t xml:space="preserve"> </w:t>
      </w:r>
      <w:proofErr w:type="spellStart"/>
      <w:r>
        <w:t>incelenecektir</w:t>
      </w:r>
      <w:proofErr w:type="spellEnd"/>
      <w:r>
        <w:t xml:space="preserve">. </w:t>
      </w:r>
      <w:proofErr w:type="spellStart"/>
      <w:r>
        <w:t>Jeofizik</w:t>
      </w:r>
      <w:proofErr w:type="spellEnd"/>
      <w:r>
        <w:t xml:space="preserve"> </w:t>
      </w:r>
      <w:proofErr w:type="spellStart"/>
      <w:proofErr w:type="gramStart"/>
      <w:r>
        <w:t>Mühendisliği’nin</w:t>
      </w:r>
      <w:proofErr w:type="spellEnd"/>
      <w:proofErr w:type="gramEnd"/>
      <w:r>
        <w:t xml:space="preserve"> </w:t>
      </w:r>
      <w:proofErr w:type="spellStart"/>
      <w:r>
        <w:t>Jeoloji</w:t>
      </w:r>
      <w:proofErr w:type="spellEnd"/>
      <w:r>
        <w:t xml:space="preserve"> Mühendisliği </w:t>
      </w:r>
      <w:proofErr w:type="spellStart"/>
      <w:r>
        <w:t>ile</w:t>
      </w:r>
      <w:proofErr w:type="spellEnd"/>
      <w:r>
        <w:t xml:space="preserve"> </w:t>
      </w:r>
      <w:proofErr w:type="spellStart"/>
      <w:r>
        <w:t>ortak</w:t>
      </w:r>
      <w:proofErr w:type="spellEnd"/>
      <w:r>
        <w:t xml:space="preserve"> </w:t>
      </w:r>
      <w:proofErr w:type="spellStart"/>
      <w:r>
        <w:t>çalıştığı</w:t>
      </w:r>
      <w:proofErr w:type="spellEnd"/>
      <w:r>
        <w:t xml:space="preserve"> </w:t>
      </w:r>
      <w:proofErr w:type="spellStart"/>
      <w:r>
        <w:t>konular</w:t>
      </w:r>
      <w:proofErr w:type="spellEnd"/>
      <w:r>
        <w:t xml:space="preserve"> </w:t>
      </w:r>
      <w:proofErr w:type="spellStart"/>
      <w:r>
        <w:t>tartışılarak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yöntemler</w:t>
      </w:r>
      <w:proofErr w:type="spellEnd"/>
      <w:r>
        <w:t xml:space="preserve"> </w:t>
      </w:r>
      <w:proofErr w:type="spellStart"/>
      <w:r>
        <w:t>karşılaştırılacaktır</w:t>
      </w:r>
      <w:proofErr w:type="spellEnd"/>
      <w:r>
        <w:t xml:space="preserve">. </w:t>
      </w:r>
      <w:proofErr w:type="spellStart"/>
      <w:r>
        <w:t>Konuların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kavranabilmesi</w:t>
      </w:r>
      <w:proofErr w:type="spellEnd"/>
      <w:r>
        <w:t xml:space="preserve"> </w:t>
      </w:r>
      <w:proofErr w:type="spellStart"/>
      <w:r>
        <w:t>amacı</w:t>
      </w:r>
      <w:proofErr w:type="spellEnd"/>
      <w:r>
        <w:t xml:space="preserve"> </w:t>
      </w:r>
      <w:proofErr w:type="spellStart"/>
      <w:proofErr w:type="gramStart"/>
      <w:r>
        <w:t>ile</w:t>
      </w:r>
      <w:proofErr w:type="spellEnd"/>
      <w:r>
        <w:t xml:space="preserve">  </w:t>
      </w:r>
      <w:proofErr w:type="spellStart"/>
      <w:r>
        <w:t>uygulamalı</w:t>
      </w:r>
      <w:proofErr w:type="spellEnd"/>
      <w:proofErr w:type="gramEnd"/>
      <w:r>
        <w:t xml:space="preserve"> </w:t>
      </w:r>
      <w:proofErr w:type="spellStart"/>
      <w:r>
        <w:t>problemler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terik</w:t>
      </w:r>
      <w:proofErr w:type="spellEnd"/>
      <w:r>
        <w:t xml:space="preserve"> Konular </w:t>
      </w:r>
      <w:proofErr w:type="spellStart"/>
      <w:r>
        <w:t>desteklenecektir</w:t>
      </w:r>
      <w:proofErr w:type="spellEnd"/>
      <w:r>
        <w:t>.</w:t>
      </w:r>
    </w:p>
    <w:p w:rsidR="00B05B13" w:rsidRDefault="00B05B13" w:rsidP="00B05B13"/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Jeolojik</w:t>
      </w:r>
      <w:proofErr w:type="spellEnd"/>
      <w:r>
        <w:t xml:space="preserve"> </w:t>
      </w:r>
      <w:proofErr w:type="spellStart"/>
      <w:r>
        <w:t>malzemeler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Kaya </w:t>
      </w:r>
      <w:proofErr w:type="spellStart"/>
      <w:r>
        <w:t>kütlesi</w:t>
      </w:r>
      <w:proofErr w:type="spellEnd"/>
      <w:r>
        <w:t xml:space="preserve"> </w:t>
      </w:r>
      <w:proofErr w:type="spellStart"/>
      <w:r>
        <w:t>kavramı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Süreksizlik</w:t>
      </w:r>
      <w:proofErr w:type="spellEnd"/>
      <w:r>
        <w:t xml:space="preserve"> </w:t>
      </w:r>
      <w:proofErr w:type="spellStart"/>
      <w:r>
        <w:t>kavramı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Kütle</w:t>
      </w:r>
      <w:proofErr w:type="spellEnd"/>
      <w:r>
        <w:t xml:space="preserve"> </w:t>
      </w:r>
      <w:proofErr w:type="spellStart"/>
      <w:r>
        <w:t>hareketleri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Yamaç</w:t>
      </w:r>
      <w:proofErr w:type="spellEnd"/>
      <w:r>
        <w:t xml:space="preserve"> ve </w:t>
      </w:r>
      <w:proofErr w:type="spellStart"/>
      <w:r>
        <w:t>şevlerde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jeolojisi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Yamaç</w:t>
      </w:r>
      <w:proofErr w:type="spellEnd"/>
      <w:r>
        <w:t xml:space="preserve"> ve </w:t>
      </w:r>
      <w:proofErr w:type="spellStart"/>
      <w:r>
        <w:t>şevlerde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jeolojisi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r>
        <w:t xml:space="preserve">Ara </w:t>
      </w:r>
      <w:proofErr w:type="spellStart"/>
      <w:r>
        <w:t>sınav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Baraj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jeolojisi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Baraj</w:t>
      </w:r>
      <w:proofErr w:type="spellEnd"/>
      <w:r>
        <w:t xml:space="preserve"> </w:t>
      </w:r>
      <w:proofErr w:type="spellStart"/>
      <w:r>
        <w:t>yeri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jeolojisi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Tünel</w:t>
      </w:r>
      <w:proofErr w:type="spellEnd"/>
      <w:r>
        <w:t xml:space="preserve"> </w:t>
      </w:r>
      <w:proofErr w:type="spellStart"/>
      <w:r>
        <w:t>projelerinde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jeolojisi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Tünel</w:t>
      </w:r>
      <w:proofErr w:type="spellEnd"/>
      <w:r>
        <w:t xml:space="preserve"> </w:t>
      </w:r>
      <w:proofErr w:type="spellStart"/>
      <w:r>
        <w:t>projelerinde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jeolojisi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Temellerde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jeolojisi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Temellerde</w:t>
      </w:r>
      <w:proofErr w:type="spellEnd"/>
      <w:r>
        <w:t xml:space="preserve">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jeolojisi</w:t>
      </w:r>
      <w:proofErr w:type="spellEnd"/>
    </w:p>
    <w:p w:rsidR="00B05B13" w:rsidRDefault="00B05B13" w:rsidP="00B05B13">
      <w:pPr>
        <w:pStyle w:val="ListParagraph"/>
        <w:numPr>
          <w:ilvl w:val="0"/>
          <w:numId w:val="1"/>
        </w:numPr>
      </w:pPr>
      <w:proofErr w:type="spellStart"/>
      <w:r>
        <w:t>Hafta</w:t>
      </w:r>
      <w:proofErr w:type="spellEnd"/>
      <w:r>
        <w:t xml:space="preserve">: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jeolojisinde</w:t>
      </w:r>
      <w:proofErr w:type="spellEnd"/>
      <w:r>
        <w:t xml:space="preserve"> </w:t>
      </w:r>
      <w:proofErr w:type="spellStart"/>
      <w:r>
        <w:t>jeofizik</w:t>
      </w:r>
      <w:proofErr w:type="spellEnd"/>
      <w:r>
        <w:t xml:space="preserve"> </w:t>
      </w:r>
      <w:proofErr w:type="spellStart"/>
      <w:r>
        <w:t>yöntemler</w:t>
      </w:r>
      <w:proofErr w:type="spellEnd"/>
    </w:p>
    <w:p w:rsidR="00B05B13" w:rsidRDefault="00B05B13" w:rsidP="00B05B13"/>
    <w:p w:rsidR="00B05B13" w:rsidRPr="00B05B13" w:rsidRDefault="00B05B13" w:rsidP="00B05B13">
      <w:pPr>
        <w:rPr>
          <w:b/>
        </w:rPr>
      </w:pPr>
      <w:proofErr w:type="spellStart"/>
      <w:r w:rsidRPr="00B05B13">
        <w:rPr>
          <w:b/>
        </w:rPr>
        <w:t>Kaynaklar</w:t>
      </w:r>
      <w:proofErr w:type="spellEnd"/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0"/>
        <w:gridCol w:w="1500"/>
      </w:tblGrid>
      <w:tr w:rsidR="00B05B13" w:rsidRPr="00B05B13" w:rsidTr="00B05B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Bell</w:t>
            </w:r>
            <w:proofErr w:type="gram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,F.G</w:t>
            </w:r>
            <w:proofErr w:type="spellEnd"/>
            <w:proofErr w:type="gram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., 2007. Engineering Geology. Elsevier, 593 p.</w:t>
            </w:r>
          </w:p>
        </w:tc>
        <w:tc>
          <w:tcPr>
            <w:tcW w:w="1500" w:type="dxa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B05B13" w:rsidRPr="00B05B13" w:rsidTr="00B05B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Erguvanlı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, K.</w:t>
            </w:r>
            <w:proofErr w:type="gram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,2016</w:t>
            </w:r>
            <w:proofErr w:type="gram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.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Mühendislik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Jeolojisi.TMMOB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Jeoloji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Mühendisleri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Odası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yayını.590 s.</w:t>
            </w:r>
          </w:p>
        </w:tc>
        <w:tc>
          <w:tcPr>
            <w:tcW w:w="1500" w:type="dxa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B05B13" w:rsidRPr="00B05B13" w:rsidTr="00B05B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Hoek, E., P.K., Kaiser,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Bawden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, W.F., 1993. Support of Underground Excavations in Hard Rock. 235 p.</w:t>
            </w:r>
          </w:p>
        </w:tc>
        <w:tc>
          <w:tcPr>
            <w:tcW w:w="1500" w:type="dxa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B05B13" w:rsidRPr="00B05B13" w:rsidTr="00B05B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Karpuz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, C.,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Hindistan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, M.A., 2006. Kaya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Mekaniği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,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İlkeleri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ve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Uygulamaları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. TMMOB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Maden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Mühendisleri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Odası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Yayını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, 345 s.</w:t>
            </w:r>
          </w:p>
        </w:tc>
        <w:tc>
          <w:tcPr>
            <w:tcW w:w="1500" w:type="dxa"/>
            <w:tcBorders>
              <w:top w:val="nil"/>
              <w:left w:val="single" w:sz="6" w:space="0" w:color="DFDFDF"/>
              <w:bottom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B05B13" w:rsidRPr="00B05B13" w:rsidTr="00B05B1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Maidl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, B.,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Schmid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, L., Ritz, W.,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Herrenknecht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, B., 2008.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Hardrock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 xml:space="preserve"> Tunnel Boring Machines. </w:t>
            </w:r>
            <w:proofErr w:type="spellStart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Ernst&amp;Son</w:t>
            </w:r>
            <w:proofErr w:type="spellEnd"/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. , 360 p.</w:t>
            </w:r>
          </w:p>
        </w:tc>
        <w:tc>
          <w:tcPr>
            <w:tcW w:w="1500" w:type="dxa"/>
            <w:tcBorders>
              <w:top w:val="nil"/>
              <w:left w:val="single" w:sz="6" w:space="0" w:color="DFDFDF"/>
              <w:bottom w:val="nil"/>
              <w:right w:val="nil"/>
            </w:tcBorders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 </w:t>
            </w:r>
          </w:p>
        </w:tc>
      </w:tr>
      <w:tr w:rsidR="00B05B13" w:rsidRPr="00B05B13" w:rsidTr="00B05B13"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2F2F2"/>
            <w:tcMar>
              <w:top w:w="105" w:type="dxa"/>
              <w:left w:w="165" w:type="dxa"/>
              <w:bottom w:w="105" w:type="dxa"/>
              <w:right w:w="165" w:type="dxa"/>
            </w:tcMar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rPr>
                <w:rFonts w:ascii="Arial" w:eastAsia="Times New Roman" w:hAnsi="Arial" w:cs="Arial"/>
                <w:color w:val="404040"/>
                <w:sz w:val="18"/>
                <w:szCs w:val="18"/>
              </w:rPr>
            </w:pPr>
            <w:r w:rsidRPr="00B05B13">
              <w:rPr>
                <w:rFonts w:ascii="Arial" w:eastAsia="Times New Roman" w:hAnsi="Arial" w:cs="Arial"/>
                <w:color w:val="404040"/>
                <w:sz w:val="18"/>
                <w:szCs w:val="18"/>
              </w:rPr>
              <w:t>Schroeder, W.L., Dickenson, S.E., Warrington, D.C., 2004. Soils in Construction. Pearson , 370 p.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B05B13" w:rsidRPr="00B05B13" w:rsidRDefault="00B05B13" w:rsidP="00B05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05B13" w:rsidRPr="00B05B13" w:rsidRDefault="00B05B13" w:rsidP="00B05B13">
      <w:pPr>
        <w:ind w:firstLine="720"/>
      </w:pPr>
      <w:bookmarkStart w:id="0" w:name="_GoBack"/>
      <w:bookmarkEnd w:id="0"/>
    </w:p>
    <w:sectPr w:rsidR="00B05B13" w:rsidRPr="00B05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C3AF1"/>
    <w:multiLevelType w:val="hybridMultilevel"/>
    <w:tmpl w:val="C0C87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13"/>
    <w:rsid w:val="009B4E72"/>
    <w:rsid w:val="00B0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D20A2-1C73-4727-A502-86E485E6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1</cp:revision>
  <dcterms:created xsi:type="dcterms:W3CDTF">2019-05-16T17:22:00Z</dcterms:created>
  <dcterms:modified xsi:type="dcterms:W3CDTF">2019-05-16T17:32:00Z</dcterms:modified>
</cp:coreProperties>
</file>