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Ankara 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niversitesi</w:t>
      </w:r>
    </w:p>
    <w:p>
      <w:pPr>
        <w:pStyle w:val="Gövde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K</w:t>
      </w:r>
      <w:r>
        <w:rPr>
          <w:b w:val="1"/>
          <w:bCs w:val="1"/>
          <w:sz w:val="18"/>
          <w:szCs w:val="18"/>
          <w:rtl w:val="0"/>
        </w:rPr>
        <w:t>ü</w:t>
      </w:r>
      <w:r>
        <w:rPr>
          <w:b w:val="1"/>
          <w:bCs w:val="1"/>
          <w:sz w:val="18"/>
          <w:szCs w:val="18"/>
          <w:rtl w:val="0"/>
        </w:rPr>
        <w:t>t</w:t>
      </w:r>
      <w:r>
        <w:rPr>
          <w:b w:val="1"/>
          <w:bCs w:val="1"/>
          <w:sz w:val="18"/>
          <w:szCs w:val="18"/>
          <w:rtl w:val="0"/>
        </w:rPr>
        <w:t>ü</w:t>
      </w:r>
      <w:r>
        <w:rPr>
          <w:b w:val="1"/>
          <w:bCs w:val="1"/>
          <w:sz w:val="18"/>
          <w:szCs w:val="18"/>
          <w:rtl w:val="0"/>
        </w:rPr>
        <w:t>phane ve Dok</w:t>
      </w:r>
      <w:r>
        <w:rPr>
          <w:b w:val="1"/>
          <w:bCs w:val="1"/>
          <w:sz w:val="18"/>
          <w:szCs w:val="18"/>
          <w:rtl w:val="0"/>
        </w:rPr>
        <w:t>ü</w:t>
      </w:r>
      <w:r>
        <w:rPr>
          <w:b w:val="1"/>
          <w:bCs w:val="1"/>
          <w:sz w:val="18"/>
          <w:szCs w:val="18"/>
          <w:rtl w:val="0"/>
        </w:rPr>
        <w:t>mantasyon Daire Ba</w:t>
      </w:r>
      <w:r>
        <w:rPr>
          <w:b w:val="1"/>
          <w:bCs w:val="1"/>
          <w:sz w:val="18"/>
          <w:szCs w:val="18"/>
          <w:rtl w:val="0"/>
        </w:rPr>
        <w:t>ş</w:t>
      </w:r>
      <w:r>
        <w:rPr>
          <w:b w:val="1"/>
          <w:bCs w:val="1"/>
          <w:sz w:val="18"/>
          <w:szCs w:val="18"/>
          <w:rtl w:val="0"/>
        </w:rPr>
        <w:t>kanl</w:t>
      </w:r>
      <w:r>
        <w:rPr>
          <w:b w:val="1"/>
          <w:bCs w:val="1"/>
          <w:sz w:val="18"/>
          <w:szCs w:val="18"/>
          <w:rtl w:val="0"/>
        </w:rPr>
        <w:t>ığı</w:t>
      </w:r>
    </w:p>
    <w:p>
      <w:pPr>
        <w:pStyle w:val="Gövde"/>
        <w:rPr>
          <w:sz w:val="18"/>
          <w:szCs w:val="18"/>
        </w:rPr>
      </w:pPr>
    </w:p>
    <w:p>
      <w:pPr>
        <w:pStyle w:val="Gövde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A</w:t>
      </w:r>
      <w:r>
        <w:rPr>
          <w:b w:val="1"/>
          <w:bCs w:val="1"/>
          <w:sz w:val="18"/>
          <w:szCs w:val="18"/>
          <w:rtl w:val="0"/>
        </w:rPr>
        <w:t>çı</w:t>
      </w:r>
      <w:r>
        <w:rPr>
          <w:b w:val="1"/>
          <w:bCs w:val="1"/>
          <w:sz w:val="18"/>
          <w:szCs w:val="18"/>
          <w:rtl w:val="0"/>
        </w:rPr>
        <w:t>k Ders Malzemeleri</w:t>
      </w:r>
    </w:p>
    <w:p>
      <w:pPr>
        <w:pStyle w:val="Gövde"/>
        <w:rPr>
          <w:sz w:val="18"/>
          <w:szCs w:val="18"/>
        </w:rPr>
      </w:pPr>
    </w:p>
    <w:p>
      <w:pPr>
        <w:pStyle w:val="heading 3"/>
        <w:spacing w:after="160"/>
        <w:ind w:left="0" w:firstLine="0"/>
        <w:rPr>
          <w:sz w:val="18"/>
          <w:szCs w:val="18"/>
        </w:rPr>
      </w:pP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al</w:t>
      </w:r>
      <w:r>
        <w:rPr>
          <w:sz w:val="18"/>
          <w:szCs w:val="18"/>
          <w:rtl w:val="0"/>
        </w:rPr>
        <w:t>ış</w:t>
      </w:r>
      <w:r>
        <w:rPr>
          <w:sz w:val="18"/>
          <w:szCs w:val="18"/>
          <w:rtl w:val="0"/>
          <w:lang w:val="it-IT"/>
        </w:rPr>
        <w:t>ma Plan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al</w:t>
      </w:r>
      <w:r>
        <w:rPr>
          <w:sz w:val="18"/>
          <w:szCs w:val="18"/>
          <w:rtl w:val="0"/>
        </w:rPr>
        <w:t>ış</w:t>
      </w:r>
      <w:r>
        <w:rPr>
          <w:sz w:val="18"/>
          <w:szCs w:val="18"/>
          <w:rtl w:val="0"/>
        </w:rPr>
        <w:t xml:space="preserve">ma Takvimi) </w:t>
      </w: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37"/>
        <w:gridCol w:w="8029"/>
      </w:tblGrid>
      <w:tr>
        <w:tblPrEx>
          <w:shd w:val="clear" w:color="auto" w:fill="5b9bd5"/>
        </w:tblPrEx>
        <w:trPr>
          <w:trHeight w:val="230" w:hRule="atLeast"/>
          <w:tblHeader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Haftalar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52"/>
              <w:bottom w:type="dxa" w:w="80"/>
              <w:right w:type="dxa" w:w="277"/>
            </w:tcMar>
            <w:vAlign w:val="center"/>
          </w:tcPr>
          <w:p>
            <w:pPr>
              <w:pStyle w:val="Gövde"/>
              <w:spacing w:before="120" w:after="120"/>
              <w:ind w:left="72" w:right="197" w:firstLine="0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Haftal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k Konu Ba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ş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l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klar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ı 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sz w:val="18"/>
                <w:szCs w:val="18"/>
                <w:rtl w:val="0"/>
              </w:rPr>
              <w:t>1.Hafta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Konu-basligi"/>
            </w:pPr>
            <w:r>
              <w:rPr>
                <w:rtl w:val="0"/>
              </w:rPr>
              <w:t>Ders Plan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 ve Kaynaklar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sz w:val="18"/>
                <w:szCs w:val="18"/>
                <w:rtl w:val="0"/>
              </w:rPr>
              <w:t>2.Hafta</w:t>
            </w:r>
          </w:p>
        </w:tc>
        <w:tc>
          <w:tcPr>
            <w:tcW w:type="dxa" w:w="802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Okuma Parçası"/>
              <w:ind w:left="432" w:hanging="360"/>
            </w:pP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Dinin Ku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da-DK"/>
              </w:rPr>
              <w:t>̈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ltu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da-DK"/>
              </w:rPr>
              <w:t>̈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re Etkisi ve Din Bilimleri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sz w:val="18"/>
                <w:szCs w:val="18"/>
                <w:rtl w:val="0"/>
              </w:rPr>
              <w:t>3.Hafta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Konu-basligi"/>
            </w:pPr>
            <w:r>
              <w:rPr>
                <w:rtl w:val="0"/>
                <w:lang w:val="de-DE"/>
              </w:rPr>
              <w:t>Fen, Sag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̆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Ve Sosyal 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̇</w:t>
            </w:r>
            <w:r>
              <w:rPr>
                <w:rtl w:val="0"/>
              </w:rPr>
              <w:t>limler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sz w:val="18"/>
                <w:szCs w:val="18"/>
                <w:rtl w:val="0"/>
              </w:rPr>
              <w:t>4.Hafta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Konu-basligi"/>
            </w:pPr>
            <w:r>
              <w:rPr>
                <w:rtl w:val="0"/>
              </w:rPr>
              <w:t>Hoca Ahmed Yesevi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̂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ve Divan-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Hikmet adl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eserinin Tu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rk-I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̇</w:t>
            </w:r>
            <w:r>
              <w:rPr>
                <w:rtl w:val="0"/>
              </w:rPr>
              <w:t>slam Ku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ltu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ru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  <w:lang w:val="de-DE"/>
              </w:rPr>
              <w:t>ne Katk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lar</w:t>
            </w:r>
            <w:r>
              <w:rPr>
                <w:rtl w:val="0"/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sz w:val="18"/>
                <w:szCs w:val="18"/>
                <w:rtl w:val="0"/>
              </w:rPr>
              <w:t>5</w:t>
            </w:r>
            <w:r>
              <w:rPr>
                <w:sz w:val="18"/>
                <w:szCs w:val="18"/>
                <w:rtl w:val="0"/>
              </w:rPr>
              <w:t>.Hafta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Konu-basligi"/>
            </w:pPr>
            <w:r>
              <w:rPr>
                <w:rtl w:val="0"/>
              </w:rPr>
              <w:t>Medreselerin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rk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 xml:space="preserve">slam Tarihineki Yeri 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sz w:val="18"/>
                <w:szCs w:val="18"/>
                <w:rtl w:val="0"/>
              </w:rPr>
              <w:t>6. Hafta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Konu-basligi"/>
            </w:pPr>
            <w:r>
              <w:rPr>
                <w:rtl w:val="0"/>
              </w:rPr>
              <w:t>Mimari 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rFonts w:ascii="Verdana" w:hAnsi="Verdana"/>
                <w:sz w:val="18"/>
                <w:szCs w:val="18"/>
                <w:rtl w:val="0"/>
              </w:rPr>
              <w:t>7. Hafta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Okuma Parçası"/>
              <w:ind w:left="432" w:hanging="36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Saray K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lt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r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 xml:space="preserve">ü 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 Hafta</w:t>
            </w:r>
          </w:p>
        </w:tc>
        <w:tc>
          <w:tcPr>
            <w:tcW w:type="dxa" w:w="802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Okuma Parçası"/>
              <w:ind w:left="432" w:hanging="360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Saray K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ü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lt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ü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ü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II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 Hafta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Konu-basligi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rk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slam 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nde Aile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sz w:val="18"/>
                <w:szCs w:val="18"/>
                <w:rtl w:val="0"/>
              </w:rPr>
              <w:t>10</w:t>
            </w:r>
            <w:r>
              <w:rPr>
                <w:sz w:val="18"/>
                <w:szCs w:val="18"/>
                <w:rtl w:val="0"/>
              </w:rPr>
              <w:t>.Hafta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Konu-basligi"/>
            </w:pPr>
            <w:r>
              <w:rPr>
                <w:rFonts w:ascii="Verdana" w:cs="Arial Unicode MS" w:hAnsi="Verdana" w:eastAsia="Arial Unicode MS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rtl w:val="0"/>
              </w:rPr>
              <w:t>ü</w:t>
            </w:r>
            <w:r>
              <w:rPr>
                <w:rFonts w:ascii="Verdana" w:cs="Arial Unicode MS" w:hAnsi="Verdana" w:eastAsia="Arial Unicode MS"/>
                <w:rtl w:val="0"/>
              </w:rPr>
              <w:t xml:space="preserve">rk </w:t>
            </w:r>
            <w:r>
              <w:rPr>
                <w:rFonts w:ascii="Verdana" w:cs="Arial Unicode MS" w:hAnsi="Verdana" w:eastAsia="Arial Unicode MS" w:hint="default"/>
                <w:rtl w:val="0"/>
              </w:rPr>
              <w:t>İ</w:t>
            </w:r>
            <w:r>
              <w:rPr>
                <w:rFonts w:ascii="Verdana" w:cs="Arial Unicode MS" w:hAnsi="Verdana" w:eastAsia="Arial Unicode MS"/>
                <w:rtl w:val="0"/>
              </w:rPr>
              <w:t>slam K</w:t>
            </w:r>
            <w:r>
              <w:rPr>
                <w:rFonts w:ascii="Verdana" w:cs="Arial Unicode MS" w:hAnsi="Verdana" w:eastAsia="Arial Unicode MS" w:hint="default"/>
                <w:rtl w:val="0"/>
              </w:rPr>
              <w:t>ü</w:t>
            </w:r>
            <w:r>
              <w:rPr>
                <w:rFonts w:ascii="Verdana" w:cs="Arial Unicode MS" w:hAnsi="Verdana" w:eastAsia="Arial Unicode MS"/>
                <w:rtl w:val="0"/>
              </w:rPr>
              <w:t>lt</w:t>
            </w:r>
            <w:r>
              <w:rPr>
                <w:rFonts w:ascii="Verdana" w:cs="Arial Unicode MS" w:hAnsi="Verdana" w:eastAsia="Arial Unicode MS" w:hint="default"/>
                <w:rtl w:val="0"/>
              </w:rPr>
              <w:t>ü</w:t>
            </w:r>
            <w:r>
              <w:rPr>
                <w:rFonts w:ascii="Verdana" w:cs="Arial Unicode MS" w:hAnsi="Verdana" w:eastAsia="Arial Unicode MS"/>
                <w:rtl w:val="0"/>
              </w:rPr>
              <w:t>r</w:t>
            </w:r>
            <w:r>
              <w:rPr>
                <w:rFonts w:ascii="Verdana" w:cs="Arial Unicode MS" w:hAnsi="Verdana" w:eastAsia="Arial Unicode MS" w:hint="default"/>
                <w:rtl w:val="0"/>
              </w:rPr>
              <w:t>ü</w:t>
            </w:r>
            <w:r>
              <w:rPr>
                <w:rFonts w:ascii="Verdana" w:cs="Arial Unicode MS" w:hAnsi="Verdana" w:eastAsia="Arial Unicode MS"/>
                <w:rtl w:val="0"/>
              </w:rPr>
              <w:t>nde Y</w:t>
            </w:r>
            <w:r>
              <w:rPr>
                <w:rFonts w:ascii="Verdana" w:cs="Arial Unicode MS" w:hAnsi="Verdana" w:eastAsia="Arial Unicode MS" w:hint="default"/>
                <w:rtl w:val="0"/>
              </w:rPr>
              <w:t>ö</w:t>
            </w:r>
            <w:r>
              <w:rPr>
                <w:rFonts w:ascii="Verdana" w:cs="Arial Unicode MS" w:hAnsi="Verdana" w:eastAsia="Arial Unicode MS"/>
                <w:rtl w:val="0"/>
              </w:rPr>
              <w:t>netim Anlay</w:t>
            </w:r>
            <w:r>
              <w:rPr>
                <w:rFonts w:ascii="Verdana" w:cs="Arial Unicode MS" w:hAnsi="Verdana" w:eastAsia="Arial Unicode MS" w:hint="default"/>
                <w:rtl w:val="0"/>
              </w:rPr>
              <w:t xml:space="preserve">ışı 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20" w:after="120"/>
              <w:jc w:val="center"/>
            </w:pPr>
            <w:r>
              <w:rPr>
                <w:sz w:val="18"/>
                <w:szCs w:val="18"/>
                <w:rtl w:val="0"/>
              </w:rPr>
              <w:t xml:space="preserve">11. Hafta 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Konu-basligi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Tu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rk-I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̇</w:t>
            </w:r>
            <w:r>
              <w:rPr>
                <w:rtl w:val="0"/>
              </w:rPr>
              <w:t>slam Ku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ltu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ru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’</w:t>
            </w:r>
            <w:r>
              <w:rPr>
                <w:rtl w:val="0"/>
                <w:lang w:val="de-DE"/>
              </w:rPr>
              <w:t>nden O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rnek Metinler Divanu Lu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gati't-Tu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̈</w:t>
            </w:r>
            <w:r>
              <w:rPr>
                <w:rtl w:val="0"/>
              </w:rPr>
              <w:t>rk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12. Hafta 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72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̈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rk-I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̇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slam Ku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̈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ltu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̈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̈’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nden O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̈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rnek Metinler Kutadgu Bilig</w:t>
            </w:r>
          </w:p>
        </w:tc>
      </w:tr>
    </w:tbl>
    <w:p>
      <w:pPr>
        <w:pStyle w:val="heading 3"/>
        <w:widowControl w:val="0"/>
        <w:spacing w:after="160"/>
        <w:ind w:left="0" w:firstLine="0"/>
        <w:rPr>
          <w:sz w:val="18"/>
          <w:szCs w:val="18"/>
        </w:rPr>
      </w:pPr>
    </w:p>
    <w:p>
      <w:pPr>
        <w:pStyle w:val="Gövde"/>
        <w:tabs>
          <w:tab w:val="left" w:pos="6375"/>
        </w:tabs>
      </w:pPr>
      <w:r>
        <w:rPr>
          <w:sz w:val="18"/>
          <w:szCs w:val="18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Gövd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center"/>
      <w:outlineLvl w:val="0"/>
    </w:pPr>
    <w:rPr>
      <w:rFonts w:ascii="Verdana" w:cs="Arial Unicode MS" w:hAnsi="Verdan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Konu-basligi">
    <w:name w:val="Konu-basligi"/>
    <w:next w:val="Konu-basligi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72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Okuma Parçası">
    <w:name w:val="Okuma Parçası"/>
    <w:next w:val="Okuma Parçası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