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471070" w:rsidRDefault="00BC32DD" w:rsidP="00BC32DD">
      <w:pPr>
        <w:jc w:val="center"/>
        <w:rPr>
          <w:sz w:val="24"/>
        </w:rPr>
      </w:pPr>
      <w:r w:rsidRPr="00471070">
        <w:rPr>
          <w:b/>
          <w:sz w:val="24"/>
        </w:rPr>
        <w:t>Ankara Üniversitesi</w:t>
      </w:r>
      <w:r w:rsidRPr="00471070">
        <w:rPr>
          <w:b/>
          <w:sz w:val="24"/>
        </w:rPr>
        <w:br/>
        <w:t xml:space="preserve">Kütüphane ve Dokümantasyon Daire Başkanlığı </w:t>
      </w:r>
    </w:p>
    <w:p w:rsidR="00BC32DD" w:rsidRPr="00471070" w:rsidRDefault="00BC32DD" w:rsidP="00BC32DD">
      <w:pPr>
        <w:jc w:val="center"/>
        <w:rPr>
          <w:b/>
          <w:sz w:val="24"/>
        </w:rPr>
      </w:pPr>
      <w:r w:rsidRPr="00471070">
        <w:rPr>
          <w:b/>
          <w:sz w:val="24"/>
        </w:rPr>
        <w:t>Açık Ders Malzemeleri</w:t>
      </w:r>
    </w:p>
    <w:p w:rsidR="00BC32DD" w:rsidRPr="00471070" w:rsidRDefault="00BC32DD" w:rsidP="00BC32DD">
      <w:pPr>
        <w:pStyle w:val="Basliklar"/>
        <w:jc w:val="center"/>
        <w:rPr>
          <w:sz w:val="24"/>
        </w:rPr>
      </w:pPr>
    </w:p>
    <w:p w:rsidR="00BC32DD" w:rsidRPr="00471070" w:rsidRDefault="00BC32DD" w:rsidP="00BC32DD">
      <w:pPr>
        <w:pStyle w:val="Basliklar"/>
        <w:jc w:val="center"/>
        <w:rPr>
          <w:sz w:val="24"/>
        </w:rPr>
      </w:pPr>
      <w:r w:rsidRPr="00471070">
        <w:rPr>
          <w:sz w:val="24"/>
        </w:rPr>
        <w:t>Ders izlence Formu</w:t>
      </w:r>
    </w:p>
    <w:p w:rsidR="00BC32DD" w:rsidRPr="00471070" w:rsidRDefault="00BC32DD" w:rsidP="00BC32D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22C44" w:rsidRPr="00471070" w:rsidRDefault="00B22C44" w:rsidP="00C73274">
            <w:pPr>
              <w:pStyle w:val="DersBilgileri"/>
              <w:rPr>
                <w:b/>
                <w:bCs/>
                <w:sz w:val="24"/>
              </w:rPr>
            </w:pPr>
            <w:r w:rsidRPr="00471070">
              <w:rPr>
                <w:sz w:val="24"/>
              </w:rPr>
              <w:t>TIP540/</w:t>
            </w:r>
            <w:r w:rsidRPr="00471070">
              <w:rPr>
                <w:rFonts w:cs="Arial"/>
                <w:sz w:val="24"/>
              </w:rPr>
              <w:t xml:space="preserve"> Beslenme yetersizliği ve </w:t>
            </w:r>
            <w:proofErr w:type="spellStart"/>
            <w:r w:rsidRPr="00471070">
              <w:rPr>
                <w:rFonts w:cs="Arial"/>
                <w:sz w:val="24"/>
              </w:rPr>
              <w:t>maln</w:t>
            </w:r>
            <w:r w:rsidR="00C73274" w:rsidRPr="00471070">
              <w:rPr>
                <w:rFonts w:cs="Arial"/>
                <w:sz w:val="24"/>
              </w:rPr>
              <w:t>ü</w:t>
            </w:r>
            <w:r w:rsidRPr="00471070">
              <w:rPr>
                <w:rFonts w:cs="Arial"/>
                <w:sz w:val="24"/>
              </w:rPr>
              <w:t>trisyon</w:t>
            </w:r>
            <w:proofErr w:type="spellEnd"/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471070" w:rsidRDefault="00670E48" w:rsidP="00832AEF">
            <w:pPr>
              <w:pStyle w:val="DersBilgileri"/>
              <w:rPr>
                <w:sz w:val="24"/>
              </w:rPr>
            </w:pPr>
            <w:proofErr w:type="spellStart"/>
            <w:r w:rsidRPr="00471070">
              <w:rPr>
                <w:sz w:val="24"/>
              </w:rPr>
              <w:t>Prof.Dr</w:t>
            </w:r>
            <w:proofErr w:type="spellEnd"/>
            <w:r w:rsidRPr="00471070">
              <w:rPr>
                <w:sz w:val="24"/>
              </w:rPr>
              <w:t>. Zarife Kuloğlu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471070" w:rsidRDefault="00670E48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Lisans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471070" w:rsidRDefault="008567F5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Ulusal 12/AKTS 16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471070" w:rsidRDefault="00670E48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Teorik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8567F5" w:rsidRPr="00471070" w:rsidRDefault="008567F5" w:rsidP="008567F5">
            <w:pPr>
              <w:pStyle w:val="DersBilgileri"/>
              <w:rPr>
                <w:sz w:val="24"/>
              </w:rPr>
            </w:pPr>
            <w:proofErr w:type="spellStart"/>
            <w:r w:rsidRPr="00471070">
              <w:rPr>
                <w:sz w:val="24"/>
              </w:rPr>
              <w:t>Maln</w:t>
            </w:r>
            <w:r w:rsidR="00C73274" w:rsidRPr="00471070">
              <w:rPr>
                <w:sz w:val="24"/>
              </w:rPr>
              <w:t>ü</w:t>
            </w:r>
            <w:r w:rsidRPr="00471070">
              <w:rPr>
                <w:sz w:val="24"/>
              </w:rPr>
              <w:t>trisyon</w:t>
            </w:r>
            <w:proofErr w:type="spellEnd"/>
            <w:r w:rsidRPr="00471070">
              <w:rPr>
                <w:sz w:val="24"/>
              </w:rPr>
              <w:t xml:space="preserve">; bir veya daha çok besin öğesinin eksik veya dengesiz alınması sonucu ortaya çıkan patolojik bir durumdur. Özellikle çocukların en fazla büyüyüp geliştiği dönem olan bebeklik döneminde sık görülür. </w:t>
            </w:r>
          </w:p>
          <w:p w:rsidR="008567F5" w:rsidRPr="00471070" w:rsidRDefault="008567F5" w:rsidP="008567F5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 xml:space="preserve">Yetersiz alım, kayıpların artması ya da </w:t>
            </w:r>
            <w:proofErr w:type="spellStart"/>
            <w:r w:rsidRPr="00471070">
              <w:rPr>
                <w:sz w:val="24"/>
              </w:rPr>
              <w:t>malabsorpsiyona</w:t>
            </w:r>
            <w:proofErr w:type="spellEnd"/>
            <w:r w:rsidRPr="00471070">
              <w:rPr>
                <w:sz w:val="24"/>
              </w:rPr>
              <w:t xml:space="preserve"> ikincil gelişir. Vücuttaki her sistem </w:t>
            </w:r>
            <w:proofErr w:type="spellStart"/>
            <w:r w:rsidRPr="00471070">
              <w:rPr>
                <w:sz w:val="24"/>
              </w:rPr>
              <w:t>malnütrisyondan</w:t>
            </w:r>
            <w:proofErr w:type="spellEnd"/>
            <w:r w:rsidRPr="00471070">
              <w:rPr>
                <w:sz w:val="24"/>
              </w:rPr>
              <w:t xml:space="preserve"> etkilenir. </w:t>
            </w:r>
            <w:proofErr w:type="spellStart"/>
            <w:r w:rsidRPr="00471070">
              <w:rPr>
                <w:sz w:val="24"/>
              </w:rPr>
              <w:t>Malnütrisyon</w:t>
            </w:r>
            <w:proofErr w:type="spellEnd"/>
            <w:r w:rsidRPr="00471070">
              <w:rPr>
                <w:sz w:val="24"/>
              </w:rPr>
              <w:t xml:space="preserve"> çocuklarda önemli </w:t>
            </w:r>
            <w:proofErr w:type="gramStart"/>
            <w:r w:rsidRPr="00471070">
              <w:rPr>
                <w:sz w:val="24"/>
              </w:rPr>
              <w:t xml:space="preserve">bir  </w:t>
            </w:r>
            <w:proofErr w:type="spellStart"/>
            <w:r w:rsidRPr="00471070">
              <w:rPr>
                <w:sz w:val="24"/>
              </w:rPr>
              <w:t>morbidite</w:t>
            </w:r>
            <w:proofErr w:type="spellEnd"/>
            <w:proofErr w:type="gramEnd"/>
            <w:r w:rsidRPr="00471070">
              <w:rPr>
                <w:sz w:val="24"/>
              </w:rPr>
              <w:t xml:space="preserve"> ev </w:t>
            </w:r>
            <w:proofErr w:type="spellStart"/>
            <w:r w:rsidRPr="00471070">
              <w:rPr>
                <w:sz w:val="24"/>
              </w:rPr>
              <w:t>mortalite</w:t>
            </w:r>
            <w:proofErr w:type="spellEnd"/>
            <w:r w:rsidRPr="00471070">
              <w:rPr>
                <w:sz w:val="24"/>
              </w:rPr>
              <w:t xml:space="preserve"> nedenidir.  </w:t>
            </w:r>
          </w:p>
          <w:p w:rsidR="008567F5" w:rsidRPr="00471070" w:rsidRDefault="008567F5" w:rsidP="008567F5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 xml:space="preserve">Tanıda öykü, muayene ve </w:t>
            </w:r>
            <w:proofErr w:type="spellStart"/>
            <w:r w:rsidRPr="00471070">
              <w:rPr>
                <w:sz w:val="24"/>
              </w:rPr>
              <w:t>laboratu</w:t>
            </w:r>
            <w:r w:rsidR="00C73274" w:rsidRPr="00471070">
              <w:rPr>
                <w:sz w:val="24"/>
              </w:rPr>
              <w:t>v</w:t>
            </w:r>
            <w:r w:rsidRPr="00471070">
              <w:rPr>
                <w:sz w:val="24"/>
              </w:rPr>
              <w:t>ar</w:t>
            </w:r>
            <w:proofErr w:type="spellEnd"/>
            <w:r w:rsidRPr="00471070">
              <w:rPr>
                <w:sz w:val="24"/>
              </w:rPr>
              <w:t xml:space="preserve"> bulgularından yaralanılır. Beslenme durumunun değerlendirilmesinde vücut kitle indeksi, yaşa göre ağırlık, boya göre ağırlık, yaşa göre boy, </w:t>
            </w:r>
            <w:proofErr w:type="spellStart"/>
            <w:r w:rsidRPr="00471070">
              <w:rPr>
                <w:sz w:val="24"/>
              </w:rPr>
              <w:t>triseps</w:t>
            </w:r>
            <w:proofErr w:type="spellEnd"/>
            <w:r w:rsidRPr="00471070">
              <w:rPr>
                <w:sz w:val="24"/>
              </w:rPr>
              <w:t xml:space="preserve"> deri kalınlığı ve orta kol çevresi gibi </w:t>
            </w:r>
            <w:proofErr w:type="spellStart"/>
            <w:r w:rsidRPr="00471070">
              <w:rPr>
                <w:sz w:val="24"/>
              </w:rPr>
              <w:t>çeşitili</w:t>
            </w:r>
            <w:proofErr w:type="spellEnd"/>
            <w:r w:rsidRPr="00471070">
              <w:rPr>
                <w:sz w:val="24"/>
              </w:rPr>
              <w:t xml:space="preserve"> </w:t>
            </w:r>
            <w:proofErr w:type="spellStart"/>
            <w:r w:rsidRPr="00471070">
              <w:rPr>
                <w:sz w:val="24"/>
              </w:rPr>
              <w:t>antropometrik</w:t>
            </w:r>
            <w:proofErr w:type="spellEnd"/>
            <w:r w:rsidRPr="00471070">
              <w:rPr>
                <w:sz w:val="24"/>
              </w:rPr>
              <w:t xml:space="preserve"> hesaplamalar kullanılır. </w:t>
            </w:r>
          </w:p>
          <w:p w:rsidR="008567F5" w:rsidRPr="00471070" w:rsidRDefault="008567F5" w:rsidP="008567F5">
            <w:pPr>
              <w:pStyle w:val="DersBilgileri"/>
              <w:rPr>
                <w:rFonts w:cs="Tahoma"/>
                <w:color w:val="575A5D"/>
                <w:sz w:val="24"/>
                <w:shd w:val="clear" w:color="auto" w:fill="FFFFFF"/>
              </w:rPr>
            </w:pPr>
            <w:r w:rsidRPr="00471070">
              <w:rPr>
                <w:sz w:val="24"/>
              </w:rPr>
              <w:t xml:space="preserve">Tedavi </w:t>
            </w:r>
            <w:proofErr w:type="spellStart"/>
            <w:r w:rsidRPr="00471070">
              <w:rPr>
                <w:sz w:val="24"/>
              </w:rPr>
              <w:t>malnütrisyonun</w:t>
            </w:r>
            <w:proofErr w:type="spellEnd"/>
            <w:r w:rsidRPr="00471070">
              <w:rPr>
                <w:sz w:val="24"/>
              </w:rPr>
              <w:t xml:space="preserve"> ağırlık derecesine göre planlanır. Ağır </w:t>
            </w:r>
            <w:proofErr w:type="spellStart"/>
            <w:r w:rsidRPr="00471070">
              <w:rPr>
                <w:sz w:val="24"/>
              </w:rPr>
              <w:t>malnütrisyonu</w:t>
            </w:r>
            <w:proofErr w:type="spellEnd"/>
            <w:r w:rsidRPr="00471070">
              <w:rPr>
                <w:sz w:val="24"/>
              </w:rPr>
              <w:t xml:space="preserve"> </w:t>
            </w:r>
            <w:proofErr w:type="gramStart"/>
            <w:r w:rsidRPr="00471070">
              <w:rPr>
                <w:sz w:val="24"/>
              </w:rPr>
              <w:t>olan  çocuklar</w:t>
            </w:r>
            <w:proofErr w:type="gramEnd"/>
            <w:r w:rsidRPr="00471070">
              <w:rPr>
                <w:sz w:val="24"/>
              </w:rPr>
              <w:t xml:space="preserve"> genellikle yatırılarak </w:t>
            </w:r>
            <w:proofErr w:type="spellStart"/>
            <w:r w:rsidRPr="00471070">
              <w:rPr>
                <w:sz w:val="24"/>
              </w:rPr>
              <w:t>DSÖ’nin</w:t>
            </w:r>
            <w:proofErr w:type="spellEnd"/>
            <w:r w:rsidRPr="00471070">
              <w:rPr>
                <w:sz w:val="24"/>
              </w:rPr>
              <w:t xml:space="preserve"> önerdiği  3 basamaklı eylem planına (Stabilizasyon-rehabilitasyon-izlem) göre yapılır.  </w:t>
            </w:r>
          </w:p>
          <w:p w:rsidR="00455C5B" w:rsidRPr="00471070" w:rsidRDefault="00455C5B" w:rsidP="00BF291F">
            <w:pPr>
              <w:pStyle w:val="DersBilgileri"/>
              <w:rPr>
                <w:rFonts w:cs="Arial"/>
                <w:sz w:val="24"/>
              </w:rPr>
            </w:pPr>
          </w:p>
          <w:p w:rsidR="00BF291F" w:rsidRPr="00471070" w:rsidRDefault="008567F5" w:rsidP="00BF291F">
            <w:pPr>
              <w:pStyle w:val="DersBilgileri"/>
              <w:rPr>
                <w:rFonts w:cs="Arial"/>
                <w:b/>
                <w:sz w:val="24"/>
              </w:rPr>
            </w:pPr>
            <w:r w:rsidRPr="00471070">
              <w:rPr>
                <w:rFonts w:cs="Arial"/>
                <w:b/>
                <w:sz w:val="24"/>
              </w:rPr>
              <w:t xml:space="preserve">Beslenme yetersizliği ve </w:t>
            </w:r>
            <w:proofErr w:type="spellStart"/>
            <w:r w:rsidRPr="00471070">
              <w:rPr>
                <w:rFonts w:cs="Arial"/>
                <w:b/>
                <w:sz w:val="24"/>
              </w:rPr>
              <w:t>maln</w:t>
            </w:r>
            <w:r w:rsidR="00A24D45" w:rsidRPr="00471070">
              <w:rPr>
                <w:rFonts w:cs="Arial"/>
                <w:b/>
                <w:sz w:val="24"/>
              </w:rPr>
              <w:t>ü</w:t>
            </w:r>
            <w:r w:rsidRPr="00471070">
              <w:rPr>
                <w:rFonts w:cs="Arial"/>
                <w:b/>
                <w:sz w:val="24"/>
              </w:rPr>
              <w:t>trisyon</w:t>
            </w:r>
            <w:proofErr w:type="spellEnd"/>
            <w:r w:rsidRPr="00471070">
              <w:rPr>
                <w:rFonts w:cs="Arial"/>
                <w:b/>
                <w:sz w:val="24"/>
              </w:rPr>
              <w:t xml:space="preserve"> dersinde 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proofErr w:type="spellStart"/>
            <w:r w:rsidRPr="00471070">
              <w:rPr>
                <w:rFonts w:cs="Tahoma"/>
                <w:sz w:val="24"/>
                <w:shd w:val="clear" w:color="auto" w:fill="FFFFFF"/>
              </w:rPr>
              <w:t>Malnütrisyon</w:t>
            </w:r>
            <w:proofErr w:type="spellEnd"/>
            <w:r w:rsidRPr="00471070">
              <w:rPr>
                <w:rFonts w:cs="Tahoma"/>
                <w:sz w:val="24"/>
                <w:shd w:val="clear" w:color="auto" w:fill="FFFFFF"/>
              </w:rPr>
              <w:t xml:space="preserve"> tanımı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proofErr w:type="spellStart"/>
            <w:r w:rsidRPr="00471070">
              <w:rPr>
                <w:rFonts w:cs="Tahoma"/>
                <w:sz w:val="24"/>
                <w:shd w:val="clear" w:color="auto" w:fill="FFFFFF"/>
              </w:rPr>
              <w:t>Malnütrisyonun</w:t>
            </w:r>
            <w:proofErr w:type="spellEnd"/>
            <w:r w:rsidRPr="00471070">
              <w:rPr>
                <w:rFonts w:cs="Tahoma"/>
                <w:sz w:val="24"/>
                <w:shd w:val="clear" w:color="auto" w:fill="FFFFFF"/>
              </w:rPr>
              <w:t xml:space="preserve"> nedenleri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r w:rsidRPr="00471070">
              <w:rPr>
                <w:rFonts w:cs="Tahoma"/>
                <w:sz w:val="24"/>
                <w:shd w:val="clear" w:color="auto" w:fill="FFFFFF"/>
              </w:rPr>
              <w:t>Klinik bulguları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proofErr w:type="gramStart"/>
            <w:r w:rsidRPr="00471070">
              <w:rPr>
                <w:rFonts w:cs="Tahoma"/>
                <w:sz w:val="24"/>
                <w:shd w:val="clear" w:color="auto" w:fill="FFFFFF"/>
              </w:rPr>
              <w:lastRenderedPageBreak/>
              <w:t>Tanı,sınıflandırma</w:t>
            </w:r>
            <w:proofErr w:type="gramEnd"/>
            <w:r w:rsidRPr="00471070">
              <w:rPr>
                <w:rFonts w:cs="Tahoma"/>
                <w:sz w:val="24"/>
                <w:shd w:val="clear" w:color="auto" w:fill="FFFFFF"/>
              </w:rPr>
              <w:t xml:space="preserve"> 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r w:rsidRPr="00471070">
              <w:rPr>
                <w:rFonts w:cs="Tahoma"/>
                <w:sz w:val="24"/>
                <w:shd w:val="clear" w:color="auto" w:fill="FFFFFF"/>
              </w:rPr>
              <w:t>Tedavi</w:t>
            </w:r>
          </w:p>
          <w:p w:rsidR="00455C5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r w:rsidRPr="00471070">
              <w:rPr>
                <w:rFonts w:cs="Tahoma"/>
                <w:sz w:val="24"/>
                <w:shd w:val="clear" w:color="auto" w:fill="FFFFFF"/>
              </w:rPr>
              <w:t xml:space="preserve">-Hafif/orta </w:t>
            </w:r>
            <w:proofErr w:type="spellStart"/>
            <w:r w:rsidRPr="00471070">
              <w:rPr>
                <w:rFonts w:cs="Tahoma"/>
                <w:sz w:val="24"/>
                <w:shd w:val="clear" w:color="auto" w:fill="FFFFFF"/>
              </w:rPr>
              <w:t>malnütrisyon</w:t>
            </w:r>
            <w:proofErr w:type="spellEnd"/>
            <w:r w:rsidRPr="00471070">
              <w:rPr>
                <w:rFonts w:cs="Tahoma"/>
                <w:sz w:val="24"/>
                <w:shd w:val="clear" w:color="auto" w:fill="FFFFFF"/>
              </w:rPr>
              <w:t xml:space="preserve"> </w:t>
            </w:r>
          </w:p>
          <w:p w:rsidR="00455C5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r w:rsidRPr="00471070">
              <w:rPr>
                <w:rFonts w:cs="Tahoma"/>
                <w:sz w:val="24"/>
                <w:shd w:val="clear" w:color="auto" w:fill="FFFFFF"/>
              </w:rPr>
              <w:t xml:space="preserve">-Ağır </w:t>
            </w:r>
            <w:proofErr w:type="spellStart"/>
            <w:r w:rsidRPr="00471070">
              <w:rPr>
                <w:rFonts w:cs="Tahoma"/>
                <w:sz w:val="24"/>
                <w:shd w:val="clear" w:color="auto" w:fill="FFFFFF"/>
              </w:rPr>
              <w:t>malnütrisyon</w:t>
            </w:r>
            <w:proofErr w:type="spellEnd"/>
            <w:r w:rsidRPr="00471070">
              <w:rPr>
                <w:rFonts w:cs="Tahoma"/>
                <w:sz w:val="24"/>
                <w:shd w:val="clear" w:color="auto" w:fill="FFFFFF"/>
              </w:rPr>
              <w:t xml:space="preserve"> </w:t>
            </w:r>
          </w:p>
          <w:p w:rsidR="00DA18BB" w:rsidRPr="00471070" w:rsidRDefault="00455C5B" w:rsidP="00455C5B">
            <w:pPr>
              <w:pStyle w:val="DersBilgileri"/>
              <w:numPr>
                <w:ilvl w:val="1"/>
                <w:numId w:val="6"/>
              </w:numPr>
              <w:rPr>
                <w:rFonts w:cs="Tahoma"/>
                <w:sz w:val="24"/>
                <w:shd w:val="clear" w:color="auto" w:fill="FFFFFF"/>
              </w:rPr>
            </w:pPr>
            <w:proofErr w:type="spellStart"/>
            <w:r w:rsidRPr="00471070">
              <w:rPr>
                <w:rFonts w:cs="Tahoma"/>
                <w:sz w:val="24"/>
                <w:shd w:val="clear" w:color="auto" w:fill="FFFFFF"/>
              </w:rPr>
              <w:t>Malnütrisyonu</w:t>
            </w:r>
            <w:proofErr w:type="spellEnd"/>
            <w:r w:rsidRPr="00471070">
              <w:rPr>
                <w:rFonts w:cs="Tahoma"/>
                <w:sz w:val="24"/>
                <w:shd w:val="clear" w:color="auto" w:fill="FFFFFF"/>
              </w:rPr>
              <w:t xml:space="preserve"> önlemek için yapılacaklar anlatılmaktadır</w:t>
            </w:r>
          </w:p>
          <w:p w:rsidR="00BC32DD" w:rsidRPr="00471070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0E6D00" w:rsidRPr="00471070" w:rsidRDefault="006D0E68" w:rsidP="006D0E68">
            <w:pPr>
              <w:pStyle w:val="DersBilgileri"/>
              <w:ind w:left="504"/>
              <w:rPr>
                <w:sz w:val="24"/>
              </w:rPr>
            </w:pPr>
            <w:r w:rsidRPr="00471070">
              <w:rPr>
                <w:sz w:val="24"/>
              </w:rPr>
              <w:t xml:space="preserve">Çocukluk </w:t>
            </w:r>
            <w:proofErr w:type="gramStart"/>
            <w:r w:rsidRPr="00471070">
              <w:rPr>
                <w:sz w:val="24"/>
              </w:rPr>
              <w:t xml:space="preserve">döneminde  </w:t>
            </w:r>
            <w:proofErr w:type="spellStart"/>
            <w:r w:rsidRPr="00471070">
              <w:rPr>
                <w:sz w:val="24"/>
              </w:rPr>
              <w:t>malnütriyona</w:t>
            </w:r>
            <w:proofErr w:type="spellEnd"/>
            <w:proofErr w:type="gramEnd"/>
            <w:r w:rsidRPr="00471070">
              <w:rPr>
                <w:sz w:val="24"/>
              </w:rPr>
              <w:t xml:space="preserve">  yaklaşımın, tanı ve tedavi yöntemlerinin  kavranılması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Süresi</w:t>
            </w:r>
          </w:p>
        </w:tc>
        <w:tc>
          <w:tcPr>
            <w:tcW w:w="6068" w:type="dxa"/>
          </w:tcPr>
          <w:p w:rsidR="000E6D00" w:rsidRPr="00471070" w:rsidRDefault="000E6D00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 xml:space="preserve">2 </w:t>
            </w:r>
            <w:proofErr w:type="gramStart"/>
            <w:r w:rsidRPr="00471070">
              <w:rPr>
                <w:sz w:val="24"/>
              </w:rPr>
              <w:t>Yarı yıl</w:t>
            </w:r>
            <w:proofErr w:type="gramEnd"/>
          </w:p>
          <w:p w:rsidR="00BC32DD" w:rsidRPr="00471070" w:rsidRDefault="000E6D00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1 saat /Her 10 haftada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471070" w:rsidRDefault="000E6D00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Türkçe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471070" w:rsidRDefault="000E6D00" w:rsidP="00832AEF">
            <w:pPr>
              <w:pStyle w:val="DersBilgileri"/>
              <w:rPr>
                <w:sz w:val="24"/>
              </w:rPr>
            </w:pPr>
            <w:r w:rsidRPr="00471070">
              <w:rPr>
                <w:sz w:val="24"/>
              </w:rPr>
              <w:t>YOK</w:t>
            </w: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6D0E68" w:rsidRPr="00471070" w:rsidRDefault="006D0E68" w:rsidP="006D0E68">
            <w:pPr>
              <w:pStyle w:val="Kaynakca"/>
              <w:numPr>
                <w:ilvl w:val="0"/>
                <w:numId w:val="5"/>
              </w:numPr>
              <w:rPr>
                <w:sz w:val="24"/>
                <w:szCs w:val="24"/>
                <w:lang w:val="tr-TR"/>
              </w:rPr>
            </w:pPr>
            <w:proofErr w:type="spellStart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Samela</w:t>
            </w:r>
            <w:proofErr w:type="spellEnd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K, Vance K, Bush L, Chatfield B. Nutritional </w:t>
            </w:r>
            <w:proofErr w:type="spellStart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asssement.In</w:t>
            </w:r>
            <w:proofErr w:type="spellEnd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Pediatric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Gastrointestinal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and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Liver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Disease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5 </w:t>
            </w:r>
            <w:proofErr w:type="spellStart"/>
            <w:proofErr w:type="gramStart"/>
            <w:r w:rsidRPr="00471070">
              <w:rPr>
                <w:sz w:val="24"/>
                <w:szCs w:val="24"/>
                <w:lang w:val="tr-TR"/>
              </w:rPr>
              <w:t>th</w:t>
            </w:r>
            <w:proofErr w:type="spellEnd"/>
            <w:proofErr w:type="gramEnd"/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edition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. 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Wyliee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R,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Hyams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 xml:space="preserve"> JF, Kay M (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eds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>).</w:t>
            </w:r>
            <w:r w:rsidRPr="00471070">
              <w:rPr>
                <w:rFonts w:eastAsia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Elsevier, Inc,</w:t>
            </w:r>
            <w:r w:rsidRPr="00471070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71070">
              <w:rPr>
                <w:sz w:val="24"/>
                <w:szCs w:val="24"/>
                <w:lang w:val="tr-TR"/>
              </w:rPr>
              <w:t>Philadelphia</w:t>
            </w:r>
            <w:proofErr w:type="spellEnd"/>
            <w:r w:rsidRPr="00471070">
              <w:rPr>
                <w:sz w:val="24"/>
                <w:szCs w:val="24"/>
                <w:lang w:val="tr-TR"/>
              </w:rPr>
              <w:t>,</w:t>
            </w:r>
            <w:r w:rsidRPr="00471070">
              <w:rPr>
                <w:rFonts w:eastAsia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USA, 2016:1068-1120.</w:t>
            </w:r>
          </w:p>
          <w:p w:rsidR="006D0E68" w:rsidRPr="00471070" w:rsidRDefault="006D0E68" w:rsidP="006D0E68">
            <w:pPr>
              <w:pStyle w:val="Kaynakca"/>
              <w:numPr>
                <w:ilvl w:val="0"/>
                <w:numId w:val="5"/>
              </w:numPr>
              <w:rPr>
                <w:sz w:val="24"/>
                <w:szCs w:val="24"/>
                <w:lang w:val="tr-TR"/>
              </w:rPr>
            </w:pPr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WHO </w:t>
            </w:r>
            <w:proofErr w:type="spellStart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Guideline</w:t>
            </w:r>
            <w:proofErr w:type="gramStart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:Updates</w:t>
            </w:r>
            <w:proofErr w:type="spellEnd"/>
            <w:proofErr w:type="gramEnd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on management of severe acute malnutrition in infants and children. Geneva: World Health </w:t>
            </w:r>
            <w:proofErr w:type="gramStart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Organization  2013</w:t>
            </w:r>
            <w:proofErr w:type="gramEnd"/>
            <w:r w:rsidRPr="00471070">
              <w:rPr>
                <w:rFonts w:eastAsia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>.</w:t>
            </w:r>
          </w:p>
          <w:p w:rsidR="00BC32DD" w:rsidRPr="00471070" w:rsidRDefault="00BC32DD" w:rsidP="00832AEF">
            <w:pPr>
              <w:pStyle w:val="Kaynakca"/>
              <w:rPr>
                <w:sz w:val="24"/>
                <w:szCs w:val="24"/>
                <w:lang w:val="tr-TR"/>
              </w:rPr>
            </w:pP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Dersin Kredisi</w:t>
            </w:r>
            <w:r w:rsidR="00166DFA" w:rsidRPr="00471070">
              <w:rPr>
                <w:sz w:val="24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471070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71070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471070" w:rsidTr="00832AEF">
        <w:trPr>
          <w:jc w:val="center"/>
        </w:trPr>
        <w:tc>
          <w:tcPr>
            <w:tcW w:w="2745" w:type="dxa"/>
            <w:vAlign w:val="center"/>
          </w:tcPr>
          <w:p w:rsidR="00BC32DD" w:rsidRPr="00471070" w:rsidRDefault="00BC32DD" w:rsidP="00832AEF">
            <w:pPr>
              <w:pStyle w:val="DersBasliklar"/>
              <w:rPr>
                <w:sz w:val="24"/>
              </w:rPr>
            </w:pPr>
            <w:r w:rsidRPr="00471070">
              <w:rPr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71070" w:rsidRDefault="00BC32DD" w:rsidP="00832AEF">
            <w:pPr>
              <w:pStyle w:val="DersBilgileri"/>
              <w:rPr>
                <w:sz w:val="24"/>
              </w:rPr>
            </w:pPr>
          </w:p>
        </w:tc>
      </w:tr>
    </w:tbl>
    <w:p w:rsidR="00BC32DD" w:rsidRPr="00471070" w:rsidRDefault="00BC32DD" w:rsidP="00BC32DD">
      <w:pPr>
        <w:rPr>
          <w:sz w:val="24"/>
        </w:rPr>
      </w:pPr>
    </w:p>
    <w:p w:rsidR="00BC32DD" w:rsidRPr="00471070" w:rsidRDefault="00BC32DD" w:rsidP="00BC32DD">
      <w:pPr>
        <w:rPr>
          <w:sz w:val="24"/>
        </w:rPr>
      </w:pPr>
    </w:p>
    <w:p w:rsidR="00BC32DD" w:rsidRPr="00471070" w:rsidRDefault="00BC32DD" w:rsidP="00BC32DD">
      <w:pPr>
        <w:rPr>
          <w:sz w:val="24"/>
        </w:rPr>
      </w:pPr>
    </w:p>
    <w:p w:rsidR="00BC32DD" w:rsidRPr="00471070" w:rsidRDefault="00BC32DD" w:rsidP="00BC32DD">
      <w:pPr>
        <w:rPr>
          <w:sz w:val="24"/>
        </w:rPr>
      </w:pPr>
    </w:p>
    <w:p w:rsidR="00EB0AE2" w:rsidRPr="00471070" w:rsidRDefault="00471070">
      <w:pPr>
        <w:rPr>
          <w:sz w:val="24"/>
        </w:rPr>
      </w:pPr>
    </w:p>
    <w:sectPr w:rsidR="00EB0AE2" w:rsidRPr="00471070" w:rsidSect="006C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oneSans-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toneSerif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B37"/>
    <w:multiLevelType w:val="hybridMultilevel"/>
    <w:tmpl w:val="6128AE0E"/>
    <w:lvl w:ilvl="0" w:tplc="FA3C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62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CB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A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4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2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41650"/>
    <w:multiLevelType w:val="hybridMultilevel"/>
    <w:tmpl w:val="30F2FD4C"/>
    <w:lvl w:ilvl="0" w:tplc="968E2D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CF544A"/>
    <w:multiLevelType w:val="hybridMultilevel"/>
    <w:tmpl w:val="CBB21854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71B2327"/>
    <w:multiLevelType w:val="hybridMultilevel"/>
    <w:tmpl w:val="6DE463F6"/>
    <w:lvl w:ilvl="0" w:tplc="356A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6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A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CA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A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8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54429"/>
    <w:multiLevelType w:val="hybridMultilevel"/>
    <w:tmpl w:val="443414E6"/>
    <w:lvl w:ilvl="0" w:tplc="3276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2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8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2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4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D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816628"/>
    <w:multiLevelType w:val="hybridMultilevel"/>
    <w:tmpl w:val="C3FE8352"/>
    <w:lvl w:ilvl="0" w:tplc="8318D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B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0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4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28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F02BB4"/>
    <w:multiLevelType w:val="hybridMultilevel"/>
    <w:tmpl w:val="B0DC7DBA"/>
    <w:lvl w:ilvl="0" w:tplc="CC2C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5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E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881BFB"/>
    <w:multiLevelType w:val="hybridMultilevel"/>
    <w:tmpl w:val="604EE9DE"/>
    <w:lvl w:ilvl="0" w:tplc="6D9A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8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4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6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43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6D00"/>
    <w:rsid w:val="0011097A"/>
    <w:rsid w:val="00124A24"/>
    <w:rsid w:val="00166DFA"/>
    <w:rsid w:val="00455C5B"/>
    <w:rsid w:val="00471070"/>
    <w:rsid w:val="00670E48"/>
    <w:rsid w:val="006C1DA8"/>
    <w:rsid w:val="006D0E68"/>
    <w:rsid w:val="007D4694"/>
    <w:rsid w:val="00832BE3"/>
    <w:rsid w:val="008567F5"/>
    <w:rsid w:val="008A0947"/>
    <w:rsid w:val="009C7B6C"/>
    <w:rsid w:val="00A24D45"/>
    <w:rsid w:val="00B1189C"/>
    <w:rsid w:val="00B22C44"/>
    <w:rsid w:val="00BC32DD"/>
    <w:rsid w:val="00BF291F"/>
    <w:rsid w:val="00C11B28"/>
    <w:rsid w:val="00C73274"/>
    <w:rsid w:val="00D9331F"/>
    <w:rsid w:val="00DA18BB"/>
    <w:rsid w:val="00E1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E6D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E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2019-07-08T10:11:00Z</dcterms:created>
  <dcterms:modified xsi:type="dcterms:W3CDTF">2019-07-08T14:23:00Z</dcterms:modified>
</cp:coreProperties>
</file>