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F5" w:rsidRDefault="00FA640C">
      <w:r>
        <w:t>Ek Okuma Metinleri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Presbery</w:t>
      </w:r>
      <w:proofErr w:type="spellEnd"/>
      <w:r w:rsidRPr="00546E7D">
        <w:rPr>
          <w:rFonts w:ascii="Cambria" w:hAnsi="Cambria"/>
          <w:szCs w:val="20"/>
        </w:rPr>
        <w:t>, Frank (2000) “</w:t>
      </w:r>
      <w:proofErr w:type="spellStart"/>
      <w:r w:rsidRPr="00546E7D">
        <w:rPr>
          <w:rFonts w:ascii="Cambria" w:hAnsi="Cambria"/>
          <w:szCs w:val="20"/>
        </w:rPr>
        <w:t>The</w:t>
      </w:r>
      <w:proofErr w:type="spellEnd"/>
      <w:r w:rsidRPr="00546E7D">
        <w:rPr>
          <w:rFonts w:ascii="Cambria" w:hAnsi="Cambria"/>
          <w:szCs w:val="20"/>
        </w:rPr>
        <w:t xml:space="preserve"> </w:t>
      </w:r>
      <w:proofErr w:type="spellStart"/>
      <w:r w:rsidRPr="00546E7D">
        <w:rPr>
          <w:rFonts w:ascii="Cambria" w:hAnsi="Cambria"/>
          <w:szCs w:val="20"/>
        </w:rPr>
        <w:t>History</w:t>
      </w:r>
      <w:proofErr w:type="spellEnd"/>
      <w:r w:rsidRPr="00546E7D">
        <w:rPr>
          <w:rFonts w:ascii="Cambria" w:hAnsi="Cambria"/>
          <w:szCs w:val="20"/>
        </w:rPr>
        <w:t xml:space="preserve"> of </w:t>
      </w:r>
      <w:proofErr w:type="spellStart"/>
      <w:r w:rsidRPr="00546E7D">
        <w:rPr>
          <w:rFonts w:ascii="Cambria" w:hAnsi="Cambria"/>
          <w:szCs w:val="20"/>
        </w:rPr>
        <w:t>Advertising</w:t>
      </w:r>
      <w:proofErr w:type="spellEnd"/>
      <w:r w:rsidRPr="00546E7D">
        <w:rPr>
          <w:rFonts w:ascii="Cambria" w:hAnsi="Cambria"/>
          <w:szCs w:val="20"/>
        </w:rPr>
        <w:t xml:space="preserve">”, </w:t>
      </w:r>
      <w:proofErr w:type="spellStart"/>
      <w:r w:rsidRPr="00546E7D">
        <w:rPr>
          <w:rFonts w:ascii="Cambria" w:hAnsi="Cambria"/>
          <w:b/>
          <w:szCs w:val="20"/>
        </w:rPr>
        <w:t>Advertising</w:t>
      </w:r>
      <w:proofErr w:type="spellEnd"/>
      <w:r w:rsidRPr="00546E7D">
        <w:rPr>
          <w:rFonts w:ascii="Cambria" w:hAnsi="Cambria"/>
          <w:b/>
          <w:szCs w:val="20"/>
        </w:rPr>
        <w:t xml:space="preserve"> &amp; </w:t>
      </w:r>
      <w:proofErr w:type="spellStart"/>
      <w:r w:rsidRPr="00546E7D">
        <w:rPr>
          <w:rFonts w:ascii="Cambria" w:hAnsi="Cambria"/>
          <w:b/>
          <w:szCs w:val="20"/>
        </w:rPr>
        <w:t>Society</w:t>
      </w:r>
      <w:proofErr w:type="spellEnd"/>
      <w:r w:rsidRPr="00546E7D">
        <w:rPr>
          <w:rFonts w:ascii="Cambria" w:hAnsi="Cambria"/>
          <w:b/>
          <w:szCs w:val="20"/>
        </w:rPr>
        <w:t xml:space="preserve"> </w:t>
      </w:r>
      <w:proofErr w:type="spellStart"/>
      <w:r w:rsidRPr="00546E7D">
        <w:rPr>
          <w:rFonts w:ascii="Cambria" w:hAnsi="Cambria"/>
          <w:b/>
          <w:szCs w:val="20"/>
        </w:rPr>
        <w:t>Review</w:t>
      </w:r>
      <w:proofErr w:type="spellEnd"/>
      <w:r w:rsidRPr="00546E7D">
        <w:rPr>
          <w:rFonts w:ascii="Cambria" w:hAnsi="Cambria"/>
          <w:szCs w:val="20"/>
        </w:rPr>
        <w:t xml:space="preserve">, 1(1). 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r w:rsidRPr="00546E7D">
        <w:rPr>
          <w:rFonts w:ascii="Cambria" w:hAnsi="Cambria"/>
          <w:szCs w:val="20"/>
        </w:rPr>
        <w:t xml:space="preserve">Miller, G. (2011). </w:t>
      </w:r>
      <w:r w:rsidRPr="00546E7D">
        <w:rPr>
          <w:rFonts w:ascii="Cambria" w:hAnsi="Cambria"/>
          <w:b/>
          <w:szCs w:val="20"/>
        </w:rPr>
        <w:t>Tüketimin Evrimi: Cinsiyet, Statü ve Tüketim</w:t>
      </w:r>
      <w:r w:rsidRPr="00546E7D">
        <w:rPr>
          <w:rFonts w:ascii="Cambria" w:hAnsi="Cambria"/>
          <w:szCs w:val="20"/>
        </w:rPr>
        <w:t>, Alfa Basım Yayın Dağıtım, İstanbul, s. 27-34 ve s. 47-57.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color w:val="000000"/>
          <w:szCs w:val="20"/>
        </w:rPr>
        <w:t>Fraser</w:t>
      </w:r>
      <w:proofErr w:type="spellEnd"/>
      <w:r w:rsidRPr="00546E7D">
        <w:rPr>
          <w:rFonts w:ascii="Cambria" w:hAnsi="Cambria"/>
          <w:color w:val="000000"/>
          <w:szCs w:val="20"/>
        </w:rPr>
        <w:t xml:space="preserve">, I. (2008). “İhtiyaç”, </w:t>
      </w:r>
      <w:proofErr w:type="spellStart"/>
      <w:r w:rsidRPr="00546E7D">
        <w:rPr>
          <w:rFonts w:ascii="Cambria" w:hAnsi="Cambria"/>
          <w:b/>
          <w:color w:val="000000"/>
          <w:szCs w:val="20"/>
        </w:rPr>
        <w:t>Hegel</w:t>
      </w:r>
      <w:proofErr w:type="spellEnd"/>
      <w:r w:rsidRPr="00546E7D">
        <w:rPr>
          <w:rFonts w:ascii="Cambria" w:hAnsi="Cambria"/>
          <w:b/>
          <w:color w:val="000000"/>
          <w:szCs w:val="20"/>
        </w:rPr>
        <w:t xml:space="preserve"> ve Marks İhtiyaç Kavramı</w:t>
      </w:r>
      <w:r w:rsidRPr="00546E7D">
        <w:rPr>
          <w:rFonts w:ascii="Cambria" w:hAnsi="Cambria"/>
          <w:color w:val="000000"/>
          <w:szCs w:val="20"/>
        </w:rPr>
        <w:t xml:space="preserve"> içinde, Dost Kitabevi, Ankara, s. 17-33.</w:t>
      </w:r>
    </w:p>
    <w:p w:rsidR="00FA640C" w:rsidRPr="00546E7D" w:rsidRDefault="00FA640C" w:rsidP="00FA640C">
      <w:pPr>
        <w:spacing w:before="240" w:after="240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Ariely</w:t>
      </w:r>
      <w:proofErr w:type="spellEnd"/>
      <w:r w:rsidRPr="00546E7D">
        <w:rPr>
          <w:rFonts w:ascii="Cambria" w:hAnsi="Cambria"/>
          <w:szCs w:val="20"/>
        </w:rPr>
        <w:t xml:space="preserve">, Dan (2013). </w:t>
      </w:r>
      <w:r w:rsidRPr="00546E7D">
        <w:rPr>
          <w:rFonts w:ascii="Cambria" w:hAnsi="Cambria"/>
          <w:b/>
          <w:szCs w:val="20"/>
        </w:rPr>
        <w:t>Akıldışı ama Öngörülebilir: Kararlarımızı Biçimlendiren Güçlü Kuvvetler</w:t>
      </w:r>
      <w:r w:rsidRPr="00546E7D">
        <w:rPr>
          <w:rFonts w:ascii="Cambria" w:hAnsi="Cambria"/>
          <w:szCs w:val="20"/>
        </w:rPr>
        <w:t xml:space="preserve"> </w:t>
      </w:r>
      <w:r w:rsidRPr="00546E7D">
        <w:rPr>
          <w:rFonts w:ascii="Cambria" w:hAnsi="Cambria"/>
          <w:i/>
          <w:szCs w:val="20"/>
        </w:rPr>
        <w:t>içinde</w:t>
      </w:r>
      <w:r w:rsidRPr="00546E7D">
        <w:rPr>
          <w:rFonts w:ascii="Cambria" w:hAnsi="Cambria"/>
          <w:szCs w:val="20"/>
        </w:rPr>
        <w:t xml:space="preserve"> “İzafiyet Hakkındaki Hakikat”, s. 27-46.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Ariely</w:t>
      </w:r>
      <w:proofErr w:type="spellEnd"/>
      <w:r w:rsidRPr="00546E7D">
        <w:rPr>
          <w:rFonts w:ascii="Cambria" w:hAnsi="Cambria"/>
          <w:szCs w:val="20"/>
        </w:rPr>
        <w:t xml:space="preserve">, Dan (2013). </w:t>
      </w:r>
      <w:r w:rsidRPr="00546E7D">
        <w:rPr>
          <w:rFonts w:ascii="Cambria" w:hAnsi="Cambria"/>
          <w:b/>
          <w:szCs w:val="20"/>
        </w:rPr>
        <w:t>Akıldışı ama Öngörülebilir: Kararlarımızı Biçimlendiren Güçlü Kuvvetler</w:t>
      </w:r>
      <w:r w:rsidRPr="00546E7D">
        <w:rPr>
          <w:rFonts w:ascii="Cambria" w:hAnsi="Cambria"/>
          <w:szCs w:val="20"/>
        </w:rPr>
        <w:t xml:space="preserve"> </w:t>
      </w:r>
      <w:r w:rsidRPr="00546E7D">
        <w:rPr>
          <w:rFonts w:ascii="Cambria" w:hAnsi="Cambria"/>
          <w:i/>
          <w:szCs w:val="20"/>
        </w:rPr>
        <w:t>içinde</w:t>
      </w:r>
      <w:r w:rsidRPr="00546E7D">
        <w:rPr>
          <w:rFonts w:ascii="Cambria" w:hAnsi="Cambria"/>
          <w:szCs w:val="20"/>
        </w:rPr>
        <w:t xml:space="preserve"> “Arz ve Talep Safsatası”, s. 47-69.</w:t>
      </w:r>
    </w:p>
    <w:p w:rsidR="00FA640C" w:rsidRPr="00546E7D" w:rsidRDefault="00FA640C" w:rsidP="00FA640C">
      <w:pPr>
        <w:spacing w:before="240" w:after="240"/>
        <w:rPr>
          <w:rFonts w:ascii="Cambria" w:hAnsi="Cambria"/>
          <w:b/>
          <w:color w:val="000000"/>
          <w:szCs w:val="20"/>
        </w:rPr>
      </w:pPr>
      <w:proofErr w:type="spellStart"/>
      <w:r w:rsidRPr="00546E7D">
        <w:rPr>
          <w:rFonts w:ascii="Cambria" w:hAnsi="Cambria"/>
          <w:szCs w:val="20"/>
        </w:rPr>
        <w:t>Ariely</w:t>
      </w:r>
      <w:proofErr w:type="spellEnd"/>
      <w:r w:rsidRPr="00546E7D">
        <w:rPr>
          <w:rFonts w:ascii="Cambria" w:hAnsi="Cambria"/>
          <w:szCs w:val="20"/>
        </w:rPr>
        <w:t xml:space="preserve">, Dan (2013). </w:t>
      </w:r>
      <w:r w:rsidRPr="00546E7D">
        <w:rPr>
          <w:rFonts w:ascii="Cambria" w:hAnsi="Cambria"/>
          <w:b/>
          <w:szCs w:val="20"/>
        </w:rPr>
        <w:t>Akıldışı ama Öngörülebilir: Kararlarımızı Biçimlendiren Güçlü Kuvvetler</w:t>
      </w:r>
      <w:r w:rsidRPr="00546E7D">
        <w:rPr>
          <w:rFonts w:ascii="Cambria" w:hAnsi="Cambria"/>
          <w:szCs w:val="20"/>
        </w:rPr>
        <w:t xml:space="preserve"> </w:t>
      </w:r>
      <w:r w:rsidRPr="00546E7D">
        <w:rPr>
          <w:rFonts w:ascii="Cambria" w:hAnsi="Cambria"/>
          <w:i/>
          <w:szCs w:val="20"/>
        </w:rPr>
        <w:t>içinde</w:t>
      </w:r>
      <w:r w:rsidRPr="00546E7D">
        <w:rPr>
          <w:rFonts w:ascii="Cambria" w:hAnsi="Cambria"/>
          <w:szCs w:val="20"/>
        </w:rPr>
        <w:t xml:space="preserve"> “Sıfır Maliyetin Maliyeti”, s. 71-85.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Ariely</w:t>
      </w:r>
      <w:proofErr w:type="spellEnd"/>
      <w:r w:rsidRPr="00546E7D">
        <w:rPr>
          <w:rFonts w:ascii="Cambria" w:hAnsi="Cambria"/>
          <w:szCs w:val="20"/>
        </w:rPr>
        <w:t xml:space="preserve">, Dan (2013). </w:t>
      </w:r>
      <w:r w:rsidRPr="00546E7D">
        <w:rPr>
          <w:rFonts w:ascii="Cambria" w:hAnsi="Cambria"/>
          <w:b/>
          <w:szCs w:val="20"/>
        </w:rPr>
        <w:t>Akıldışı ama Öngörülebilir: Kararlarımızı Biçimlendiren Güçlü Kuvvetler</w:t>
      </w:r>
      <w:r w:rsidRPr="00546E7D">
        <w:rPr>
          <w:rFonts w:ascii="Cambria" w:hAnsi="Cambria"/>
          <w:szCs w:val="20"/>
        </w:rPr>
        <w:t xml:space="preserve"> </w:t>
      </w:r>
      <w:r w:rsidRPr="00546E7D">
        <w:rPr>
          <w:rFonts w:ascii="Cambria" w:hAnsi="Cambria"/>
          <w:i/>
          <w:szCs w:val="20"/>
        </w:rPr>
        <w:t>içinde</w:t>
      </w:r>
      <w:r w:rsidRPr="00546E7D">
        <w:rPr>
          <w:rFonts w:ascii="Cambria" w:hAnsi="Cambria"/>
          <w:szCs w:val="20"/>
        </w:rPr>
        <w:t xml:space="preserve"> “Fiyatın Gücü”, s. 181-199.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r w:rsidRPr="00546E7D">
        <w:rPr>
          <w:rFonts w:ascii="Cambria" w:hAnsi="Cambria"/>
          <w:szCs w:val="20"/>
        </w:rPr>
        <w:t xml:space="preserve">Zorlu, A. (2006). Üretim Kapitalizminden Tüketim Kapitalizmine Üretim ve Tüketim Teorileri, </w:t>
      </w:r>
      <w:proofErr w:type="spellStart"/>
      <w:r w:rsidRPr="00546E7D">
        <w:rPr>
          <w:rFonts w:ascii="Cambria" w:hAnsi="Cambria"/>
          <w:szCs w:val="20"/>
        </w:rPr>
        <w:t>Glocal</w:t>
      </w:r>
      <w:proofErr w:type="spellEnd"/>
      <w:r w:rsidRPr="00546E7D">
        <w:rPr>
          <w:rFonts w:ascii="Cambria" w:hAnsi="Cambria"/>
          <w:szCs w:val="20"/>
        </w:rPr>
        <w:t xml:space="preserve"> Yayınları, Ankara, s. 163-276.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r w:rsidRPr="00546E7D">
        <w:rPr>
          <w:rFonts w:ascii="Cambria" w:hAnsi="Cambria"/>
          <w:szCs w:val="20"/>
        </w:rPr>
        <w:t xml:space="preserve">Batı, U. (2015). </w:t>
      </w:r>
      <w:r w:rsidRPr="00546E7D">
        <w:rPr>
          <w:rFonts w:ascii="Cambria" w:hAnsi="Cambria"/>
          <w:b/>
          <w:szCs w:val="20"/>
        </w:rPr>
        <w:t>Tüketici Davranışları: Tüketim Kültürü, Psikolojisi ve Sosyolojisi Üzerine Şeytanın Notları,</w:t>
      </w:r>
      <w:r w:rsidRPr="00546E7D">
        <w:rPr>
          <w:rFonts w:ascii="Cambria" w:hAnsi="Cambria"/>
          <w:szCs w:val="20"/>
        </w:rPr>
        <w:t xml:space="preserve"> s.59-133.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Otay</w:t>
      </w:r>
      <w:proofErr w:type="spellEnd"/>
      <w:r w:rsidRPr="00546E7D">
        <w:rPr>
          <w:rFonts w:ascii="Cambria" w:hAnsi="Cambria"/>
          <w:szCs w:val="20"/>
        </w:rPr>
        <w:t xml:space="preserve"> Demir, F. (2015). </w:t>
      </w:r>
      <w:r w:rsidRPr="00546E7D">
        <w:rPr>
          <w:rFonts w:ascii="Cambria" w:hAnsi="Cambria"/>
          <w:b/>
          <w:szCs w:val="20"/>
        </w:rPr>
        <w:t>Sadece: Tüketim Olgusu Üzerine Denemeler</w:t>
      </w:r>
      <w:r w:rsidRPr="00546E7D">
        <w:rPr>
          <w:rFonts w:ascii="Cambria" w:hAnsi="Cambria"/>
          <w:szCs w:val="20"/>
        </w:rPr>
        <w:t xml:space="preserve"> </w:t>
      </w:r>
      <w:r w:rsidRPr="00546E7D">
        <w:rPr>
          <w:rFonts w:ascii="Cambria" w:hAnsi="Cambria"/>
          <w:i/>
          <w:szCs w:val="20"/>
        </w:rPr>
        <w:t>içinde</w:t>
      </w:r>
      <w:r w:rsidRPr="00546E7D">
        <w:rPr>
          <w:rFonts w:ascii="Cambria" w:hAnsi="Cambria"/>
          <w:szCs w:val="20"/>
        </w:rPr>
        <w:t xml:space="preserve"> “Modern Masallar: Sembolik Tüketim ve Kimlik </w:t>
      </w:r>
      <w:proofErr w:type="spellStart"/>
      <w:r w:rsidRPr="00546E7D">
        <w:rPr>
          <w:rFonts w:ascii="Cambria" w:hAnsi="Cambria"/>
          <w:szCs w:val="20"/>
        </w:rPr>
        <w:t>İnşaası</w:t>
      </w:r>
      <w:proofErr w:type="spellEnd"/>
      <w:r w:rsidRPr="00546E7D">
        <w:rPr>
          <w:rFonts w:ascii="Cambria" w:hAnsi="Cambria"/>
          <w:szCs w:val="20"/>
        </w:rPr>
        <w:t>”, s. 55-68.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proofErr w:type="spellStart"/>
      <w:r w:rsidRPr="00546E7D">
        <w:rPr>
          <w:rFonts w:ascii="Cambria" w:hAnsi="Cambria"/>
          <w:szCs w:val="20"/>
        </w:rPr>
        <w:t>Ongur</w:t>
      </w:r>
      <w:proofErr w:type="spellEnd"/>
      <w:r w:rsidRPr="00546E7D">
        <w:rPr>
          <w:rFonts w:ascii="Cambria" w:hAnsi="Cambria"/>
          <w:szCs w:val="20"/>
        </w:rPr>
        <w:t xml:space="preserve">, H. Ö. (2011). </w:t>
      </w:r>
      <w:r w:rsidRPr="00546E7D">
        <w:rPr>
          <w:rFonts w:ascii="Cambria" w:hAnsi="Cambria"/>
          <w:b/>
          <w:szCs w:val="20"/>
        </w:rPr>
        <w:t xml:space="preserve">Tüketim Toplumu, </w:t>
      </w:r>
      <w:proofErr w:type="spellStart"/>
      <w:r w:rsidRPr="00546E7D">
        <w:rPr>
          <w:rFonts w:ascii="Cambria" w:hAnsi="Cambria"/>
          <w:b/>
          <w:szCs w:val="20"/>
        </w:rPr>
        <w:t>Nevrotik</w:t>
      </w:r>
      <w:proofErr w:type="spellEnd"/>
      <w:r w:rsidRPr="00546E7D">
        <w:rPr>
          <w:rFonts w:ascii="Cambria" w:hAnsi="Cambria"/>
          <w:b/>
          <w:szCs w:val="20"/>
        </w:rPr>
        <w:t xml:space="preserve"> Kültür ve Dövüş Kulübü</w:t>
      </w:r>
      <w:r w:rsidRPr="00546E7D">
        <w:rPr>
          <w:rFonts w:ascii="Cambria" w:hAnsi="Cambria"/>
          <w:szCs w:val="20"/>
        </w:rPr>
        <w:t>, Ayrıntı Yayınları, İstanbul, s. 41-80.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r w:rsidRPr="00546E7D">
        <w:rPr>
          <w:rFonts w:ascii="Cambria" w:hAnsi="Cambria"/>
          <w:szCs w:val="20"/>
        </w:rPr>
        <w:t xml:space="preserve">Bıçakçı, H. (1994). </w:t>
      </w:r>
      <w:r w:rsidRPr="00546E7D">
        <w:rPr>
          <w:rFonts w:ascii="Cambria" w:hAnsi="Cambria"/>
          <w:b/>
          <w:szCs w:val="20"/>
        </w:rPr>
        <w:t>Doğa Tarihi</w:t>
      </w:r>
      <w:r w:rsidRPr="00546E7D">
        <w:rPr>
          <w:rFonts w:ascii="Cambria" w:hAnsi="Cambria"/>
          <w:szCs w:val="20"/>
        </w:rPr>
        <w:t>, İletişim Yayınları, İstanbul, s. 73-97.</w:t>
      </w:r>
    </w:p>
    <w:p w:rsidR="00FA640C" w:rsidRPr="00546E7D" w:rsidRDefault="00FA640C" w:rsidP="00FA640C">
      <w:pPr>
        <w:spacing w:before="240" w:after="240" w:line="276" w:lineRule="auto"/>
        <w:rPr>
          <w:rFonts w:ascii="Cambria" w:hAnsi="Cambria"/>
          <w:szCs w:val="20"/>
        </w:rPr>
      </w:pPr>
      <w:r w:rsidRPr="00546E7D">
        <w:rPr>
          <w:rFonts w:ascii="Cambria" w:hAnsi="Cambria"/>
          <w:szCs w:val="20"/>
        </w:rPr>
        <w:t xml:space="preserve">Batı, U. (2015). </w:t>
      </w:r>
      <w:r w:rsidRPr="00546E7D">
        <w:rPr>
          <w:rFonts w:ascii="Cambria" w:hAnsi="Cambria"/>
          <w:b/>
          <w:szCs w:val="20"/>
        </w:rPr>
        <w:t>Tüketici Davranışları: Tüketim Kültürü, Psikolojisi ve Sosyolojisi Üzerine Şeytanın Notları,</w:t>
      </w:r>
      <w:r w:rsidRPr="00546E7D">
        <w:rPr>
          <w:rFonts w:ascii="Cambria" w:hAnsi="Cambria"/>
          <w:szCs w:val="20"/>
        </w:rPr>
        <w:t xml:space="preserve"> s. 261-291.</w:t>
      </w:r>
    </w:p>
    <w:p w:rsidR="00FA640C" w:rsidRDefault="00FA640C">
      <w:bookmarkStart w:id="0" w:name="_GoBack"/>
      <w:bookmarkEnd w:id="0"/>
    </w:p>
    <w:sectPr w:rsidR="00FA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C"/>
    <w:rsid w:val="00371C71"/>
    <w:rsid w:val="00801ED4"/>
    <w:rsid w:val="00FA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895"/>
  <w15:chartTrackingRefBased/>
  <w15:docId w15:val="{93BBB2FD-403D-43CB-9A71-379544E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1</cp:revision>
  <dcterms:created xsi:type="dcterms:W3CDTF">2019-07-27T14:53:00Z</dcterms:created>
  <dcterms:modified xsi:type="dcterms:W3CDTF">2019-07-27T14:54:00Z</dcterms:modified>
</cp:coreProperties>
</file>