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77" w:rsidRPr="001A2552" w:rsidRDefault="00AF2777" w:rsidP="00AF2777">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AF2777" w:rsidRPr="001A2552" w:rsidRDefault="00AF2777" w:rsidP="00AF2777">
      <w:pPr>
        <w:jc w:val="center"/>
        <w:rPr>
          <w:b/>
          <w:sz w:val="16"/>
          <w:szCs w:val="16"/>
        </w:rPr>
      </w:pPr>
      <w:r w:rsidRPr="001A2552">
        <w:rPr>
          <w:b/>
          <w:sz w:val="16"/>
          <w:szCs w:val="16"/>
        </w:rPr>
        <w:t>Açık Ders Malzemeleri</w:t>
      </w:r>
    </w:p>
    <w:p w:rsidR="00AF2777" w:rsidRDefault="00AF2777" w:rsidP="00AF2777">
      <w:pPr>
        <w:pStyle w:val="Basliklar"/>
        <w:jc w:val="center"/>
        <w:rPr>
          <w:sz w:val="16"/>
          <w:szCs w:val="16"/>
        </w:rPr>
      </w:pPr>
    </w:p>
    <w:p w:rsidR="00AF2777" w:rsidRPr="001A2552" w:rsidRDefault="00AF2777" w:rsidP="00AF2777">
      <w:pPr>
        <w:pStyle w:val="Basliklar"/>
        <w:jc w:val="center"/>
        <w:rPr>
          <w:sz w:val="16"/>
          <w:szCs w:val="16"/>
        </w:rPr>
      </w:pPr>
      <w:r>
        <w:rPr>
          <w:sz w:val="16"/>
          <w:szCs w:val="16"/>
        </w:rPr>
        <w:t>Ders izlence Formu</w:t>
      </w:r>
    </w:p>
    <w:p w:rsidR="00AF2777" w:rsidRPr="001A2552" w:rsidRDefault="00AF2777" w:rsidP="00AF277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724"/>
      </w:tblGrid>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Kodu ve İsmi</w:t>
            </w:r>
          </w:p>
        </w:tc>
        <w:tc>
          <w:tcPr>
            <w:tcW w:w="7724" w:type="dxa"/>
          </w:tcPr>
          <w:p w:rsidR="00AF2777" w:rsidRPr="00CC2E4E" w:rsidRDefault="00AF2777" w:rsidP="003E286C">
            <w:pPr>
              <w:pStyle w:val="DersBilgileri"/>
              <w:rPr>
                <w:rFonts w:asciiTheme="minorHAnsi" w:hAnsiTheme="minorHAnsi"/>
                <w:b/>
                <w:bCs/>
                <w:sz w:val="18"/>
                <w:szCs w:val="18"/>
              </w:rPr>
            </w:pPr>
            <w:r w:rsidRPr="00CC2E4E">
              <w:rPr>
                <w:rFonts w:asciiTheme="minorHAnsi" w:hAnsiTheme="minorHAnsi"/>
                <w:b/>
                <w:sz w:val="18"/>
                <w:szCs w:val="18"/>
              </w:rPr>
              <w:t>EBE</w:t>
            </w:r>
            <w:r w:rsidR="005B76D6">
              <w:rPr>
                <w:rFonts w:asciiTheme="minorHAnsi" w:hAnsiTheme="minorHAnsi"/>
                <w:b/>
                <w:sz w:val="18"/>
                <w:szCs w:val="18"/>
              </w:rPr>
              <w:t xml:space="preserve"> </w:t>
            </w:r>
            <w:r w:rsidRPr="00CC2E4E">
              <w:rPr>
                <w:rFonts w:asciiTheme="minorHAnsi" w:hAnsiTheme="minorHAnsi"/>
                <w:b/>
                <w:sz w:val="18"/>
                <w:szCs w:val="18"/>
              </w:rPr>
              <w:t>219 Çevre Sağlığı</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Sorumlusu</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Öğr. Gör. Dr. Neslihan Yılmaz Sezer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Düzeyi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Lisans</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Kredisi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Türü</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Seçmeli</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İçeriği</w:t>
            </w:r>
          </w:p>
        </w:tc>
        <w:tc>
          <w:tcPr>
            <w:tcW w:w="7724" w:type="dxa"/>
          </w:tcPr>
          <w:p w:rsidR="00AF2777" w:rsidRPr="00CC2E4E" w:rsidRDefault="00B244E3" w:rsidP="003E286C">
            <w:pPr>
              <w:pStyle w:val="DersBilgileri"/>
              <w:rPr>
                <w:rFonts w:asciiTheme="minorHAnsi" w:hAnsiTheme="minorHAnsi"/>
                <w:sz w:val="18"/>
                <w:szCs w:val="18"/>
              </w:rPr>
            </w:pPr>
            <w:r w:rsidRPr="00CC2E4E">
              <w:rPr>
                <w:rFonts w:asciiTheme="minorHAnsi" w:hAnsiTheme="minorHAnsi"/>
                <w:sz w:val="18"/>
                <w:szCs w:val="18"/>
              </w:rPr>
              <w:t>Bu ders</w:t>
            </w:r>
            <w:r w:rsidR="00AF2777" w:rsidRPr="00CC2E4E">
              <w:rPr>
                <w:rFonts w:asciiTheme="minorHAnsi" w:hAnsiTheme="minorHAnsi"/>
                <w:sz w:val="18"/>
                <w:szCs w:val="18"/>
              </w:rPr>
              <w:t xml:space="preserve"> </w:t>
            </w:r>
            <w:r w:rsidR="00CC2E4E" w:rsidRPr="00CC2E4E">
              <w:rPr>
                <w:rFonts w:asciiTheme="minorHAnsi" w:hAnsiTheme="minorHAnsi"/>
                <w:sz w:val="18"/>
                <w:szCs w:val="18"/>
              </w:rPr>
              <w:t>İnsan ekolojisi; içme ve kullanma suları; kirlenme ve atıklar; gürültü kirliliği; hava kirliliği; toprak kirliliği; radyasyon kirliliği; besin sanitasyonu; gayri sıhhi kuruluşlar; çevresel etki değerlendirmesi; çevre sağlığı ile ilgili mevzuat; Türkiye’ de çevre sorunları ve çözüm önerilerini içermektedir</w:t>
            </w:r>
            <w:r w:rsidRPr="00CC2E4E">
              <w:rPr>
                <w:rFonts w:asciiTheme="minorHAnsi" w:hAnsiTheme="minorHAnsi"/>
                <w:sz w:val="18"/>
                <w:szCs w:val="18"/>
              </w:rPr>
              <w:t xml:space="preserve">. </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Amacı</w:t>
            </w:r>
          </w:p>
        </w:tc>
        <w:tc>
          <w:tcPr>
            <w:tcW w:w="7724" w:type="dxa"/>
          </w:tcPr>
          <w:p w:rsidR="00AF2777" w:rsidRPr="00460CA6" w:rsidRDefault="005B76D6" w:rsidP="003E286C">
            <w:pPr>
              <w:pStyle w:val="DersBilgileri"/>
              <w:rPr>
                <w:rFonts w:asciiTheme="minorHAnsi" w:hAnsiTheme="minorHAnsi"/>
                <w:sz w:val="18"/>
                <w:szCs w:val="18"/>
              </w:rPr>
            </w:pPr>
            <w:r>
              <w:rPr>
                <w:rFonts w:asciiTheme="minorHAnsi" w:hAnsiTheme="minorHAnsi"/>
                <w:sz w:val="18"/>
                <w:szCs w:val="18"/>
              </w:rPr>
              <w:t>Bu ders öğrencinin, çevre sağlığı temel kavramlarını öğrenmesi ve her türlü yerleşim yerinde toplum ve çevre sağlığını korumak için alınması gereken tedbirler, çevre sağlığına yönelik mesleğe ilişkin yasal düzenlemeler, çevre kirliliğinin neden olduğu sağlık problemlerini ve alınması gereken tedbirler konusunda bilgi sahibi olmasını sağlamaktır.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Dersin Süresi</w:t>
            </w:r>
          </w:p>
        </w:tc>
        <w:tc>
          <w:tcPr>
            <w:tcW w:w="7724" w:type="dxa"/>
          </w:tcPr>
          <w:p w:rsidR="00AF2777" w:rsidRPr="00CC2E4E" w:rsidRDefault="002A13CB" w:rsidP="003E286C">
            <w:pPr>
              <w:pStyle w:val="DersBilgileri"/>
              <w:rPr>
                <w:rFonts w:asciiTheme="minorHAnsi" w:hAnsiTheme="minorHAnsi"/>
                <w:sz w:val="18"/>
                <w:szCs w:val="18"/>
              </w:rPr>
            </w:pPr>
            <w:r>
              <w:rPr>
                <w:rFonts w:asciiTheme="minorHAnsi" w:hAnsiTheme="minorHAnsi"/>
                <w:sz w:val="18"/>
                <w:szCs w:val="18"/>
              </w:rPr>
              <w:t>3</w:t>
            </w:r>
            <w:r w:rsidR="00AF2777" w:rsidRPr="00CC2E4E">
              <w:rPr>
                <w:rFonts w:asciiTheme="minorHAnsi" w:hAnsiTheme="minorHAnsi"/>
                <w:sz w:val="18"/>
                <w:szCs w:val="18"/>
              </w:rPr>
              <w:t>.yarıyıl (haftada 2 saat teorik)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Eğitim Dili</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Türkçe</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 Koşul</w:t>
            </w:r>
          </w:p>
        </w:tc>
        <w:tc>
          <w:tcPr>
            <w:tcW w:w="7724" w:type="dxa"/>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Yok</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Önerilen Kaynaklar</w:t>
            </w:r>
          </w:p>
        </w:tc>
        <w:tc>
          <w:tcPr>
            <w:tcW w:w="7724" w:type="dxa"/>
          </w:tcPr>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Güler, Ç., Akın, L. (2006) Halk Sağlığı Temel Bilgiler. Hacettepe Üniversitesi Yayınları, Ankara</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Akdur R. Çevre Sağlığı İçinde: Akdur R. ve ark. Halk Sağlığı. Antıp, Ankara,</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1998.</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 xml:space="preserve">Güler Ç. Vaizoğlu S. Çevre sağlığıİçinde:Editörler: Güler Ç. Akın L. Halk Sağlığı Temel Bilgiler, Hacettepe Üniversitesi yayınları, 2012 </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 xml:space="preserve">Çepel N. Ekolojik Sorunlar ve çözümleri, TÜBİTAK, Ankara, 2003. </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 xml:space="preserve">Kışlalıoğlu M, Berkes.F. Çevre ve Ekoloji,Remzi Kitabevi, 2003, </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 xml:space="preserve">Ansiklopedik çevre sözlüğü, Türkiye Çevre Vakfı yayını, 2001 </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 xml:space="preserve">Keleş R. Hamamcı C. Çevrebilim 4. basım,İmge Kitabevi,, 2002 </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http://www.bilimteknik.tubitak.gov.tr</w:t>
            </w:r>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Akdur, R., (2011). “Çevre Sağlığı”, Halk Sağlığı, (Ed: Birgül Piyal). 1.bs.  Ankara :  Ankara Üniversitesi Uzaktan Eğitim Yayınları, Yayın No:92</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bCs/>
                <w:sz w:val="18"/>
                <w:szCs w:val="18"/>
              </w:rPr>
              <w:t>Aydoğdu, N., Çobanoğlu İ. (2007) Tıbbi Atıkların Oluşturduğu Sorunların Çevre, Sağlık ve Etik Açıdan İncelenmesi. 38. Uluslararası Asya ve Kuzey Afrika Çalışmaları Kongresi Çevre, Kentleşme Sorunları ve Çözümleri</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bCs/>
                <w:sz w:val="18"/>
                <w:szCs w:val="18"/>
              </w:rPr>
              <w:t>Çevre ve Orman Bakanlığı (2008) Atık Yönetimi Eylem Planı (2008-2012). Ankara :T.C. Çevre ve Orman Bakanlığı Çevre Yönetimi Genel Müdürlüğü, Mayıs.</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bCs/>
                <w:sz w:val="18"/>
                <w:szCs w:val="18"/>
              </w:rPr>
              <w:t xml:space="preserve">DOĞADER (Doğayı ve Çevreyi Koruma Derneği) (2015) Atıkları yakma, çözüm mü? </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bCs/>
                <w:sz w:val="18"/>
                <w:szCs w:val="18"/>
              </w:rPr>
              <w:t xml:space="preserve">Erişim Tarihi 1 Eylül 2019, </w:t>
            </w:r>
            <w:hyperlink r:id="rId5" w:tgtFrame="_blank" w:history="1">
              <w:r w:rsidRPr="00FB4993">
                <w:rPr>
                  <w:rStyle w:val="Kpr"/>
                  <w:rFonts w:asciiTheme="minorHAnsi" w:hAnsiTheme="minorHAnsi"/>
                  <w:bCs/>
                  <w:color w:val="auto"/>
                  <w:sz w:val="18"/>
                  <w:szCs w:val="18"/>
                </w:rPr>
                <w:t>http://dogader.org/index.php/bilgi/372-atiklar-yakildiginda-tehlike-daha-da-artar</w:t>
              </w:r>
            </w:hyperlink>
            <w:r w:rsidRPr="00FB4993">
              <w:rPr>
                <w:rFonts w:asciiTheme="minorHAnsi" w:hAnsiTheme="minorHAnsi"/>
                <w:bCs/>
                <w:sz w:val="18"/>
                <w:szCs w:val="18"/>
              </w:rPr>
              <w:t xml:space="preserve">  </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bCs/>
                <w:sz w:val="18"/>
                <w:szCs w:val="18"/>
              </w:rPr>
              <w:t xml:space="preserve">Resmi Gazete (2009) Kalıcı Organik Kirleticilere İlişkin Stokholm Sözleşmesi, Erişim Tarihi 2 Eylül 2019, </w:t>
            </w:r>
            <w:hyperlink r:id="rId6" w:tgtFrame="_blank" w:history="1">
              <w:r w:rsidRPr="00FB4993">
                <w:rPr>
                  <w:rStyle w:val="Kpr"/>
                  <w:rFonts w:asciiTheme="minorHAnsi" w:hAnsiTheme="minorHAnsi"/>
                  <w:bCs/>
                  <w:color w:val="auto"/>
                  <w:sz w:val="18"/>
                  <w:szCs w:val="18"/>
                </w:rPr>
                <w:t>http://www.resmigazete.gov.tr/eskiler/2009/07/20090730-2.htm</w:t>
              </w:r>
            </w:hyperlink>
            <w:r w:rsidRPr="00FB4993">
              <w:rPr>
                <w:rFonts w:asciiTheme="minorHAnsi" w:hAnsiTheme="minorHAnsi"/>
                <w:bCs/>
                <w:sz w:val="18"/>
                <w:szCs w:val="18"/>
              </w:rPr>
              <w:t xml:space="preserve"> </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bCs/>
                <w:sz w:val="18"/>
                <w:szCs w:val="18"/>
              </w:rPr>
              <w:t xml:space="preserve">Resmi Gazete (2010) Çevre ve Orman Bakanlığı 27533 sayılı Atıkların Düzenli Depolanmasına Dair Yönetmelik,  Resmi Gazete, 26 Mart 2010 </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bCs/>
                <w:sz w:val="18"/>
                <w:szCs w:val="18"/>
              </w:rPr>
              <w:t>Saygı Ş., Battal D., Şahin N.Ö., (2012) Çevre ve insan sağlığı yönünden ilaç atıklarının önemi, Marmara Pharmaceutical Journal, 16: 82-90</w:t>
            </w:r>
          </w:p>
          <w:p w:rsidR="005B76D6" w:rsidRPr="005B76D6" w:rsidRDefault="005B76D6" w:rsidP="001C4427">
            <w:pPr>
              <w:pStyle w:val="ListeParagraf"/>
              <w:numPr>
                <w:ilvl w:val="0"/>
                <w:numId w:val="1"/>
              </w:numPr>
              <w:jc w:val="left"/>
              <w:rPr>
                <w:rFonts w:asciiTheme="minorHAnsi" w:hAnsiTheme="minorHAnsi"/>
                <w:sz w:val="18"/>
                <w:szCs w:val="18"/>
              </w:rPr>
            </w:pPr>
            <w:r w:rsidRPr="005B76D6">
              <w:rPr>
                <w:rFonts w:asciiTheme="minorHAnsi" w:hAnsiTheme="minorHAnsi"/>
                <w:bCs/>
                <w:sz w:val="18"/>
                <w:szCs w:val="18"/>
              </w:rPr>
              <w:t xml:space="preserve">Tıbbi Atıkların Kontrolü Yönetmeliği (2005) 22.07.2005 tarih, 25883 sayılı Resmi Gazete. Erişim tarihi: 2 Eylül 2019 </w:t>
            </w:r>
            <w:hyperlink r:id="rId7" w:tgtFrame="_blank" w:history="1">
              <w:r w:rsidRPr="005B76D6">
                <w:rPr>
                  <w:rStyle w:val="Kpr"/>
                  <w:rFonts w:asciiTheme="minorHAnsi" w:hAnsiTheme="minorHAnsi"/>
                  <w:bCs/>
                  <w:color w:val="auto"/>
                  <w:sz w:val="18"/>
                  <w:szCs w:val="18"/>
                </w:rPr>
                <w:t>https://www.csb.gov.tr/db/cygm/editordosya/TibbiAtiklar%C3%84%C2%B1nKontroluYonetmeligi.pdf</w:t>
              </w:r>
            </w:hyperlink>
          </w:p>
          <w:p w:rsidR="005B76D6" w:rsidRPr="00FB4993" w:rsidRDefault="005B76D6" w:rsidP="005B76D6">
            <w:pPr>
              <w:pStyle w:val="ListeParagraf"/>
              <w:numPr>
                <w:ilvl w:val="0"/>
                <w:numId w:val="1"/>
              </w:numPr>
              <w:jc w:val="left"/>
              <w:rPr>
                <w:rFonts w:asciiTheme="minorHAnsi" w:hAnsiTheme="minorHAnsi"/>
                <w:sz w:val="18"/>
                <w:szCs w:val="18"/>
              </w:rPr>
            </w:pPr>
            <w:r w:rsidRPr="00FB4993">
              <w:rPr>
                <w:rFonts w:asciiTheme="minorHAnsi" w:hAnsiTheme="minorHAnsi"/>
                <w:sz w:val="18"/>
                <w:szCs w:val="18"/>
              </w:rPr>
              <w:t>Nahidi, F., Gholami, R., Rashidi, Y., Majd, A. H. (2013). Relationship between air pollution and preeclampsia in pregnant women: a case control study. Eastern Me -diterranean Health Journal, 19(3): 60 -66</w:t>
            </w:r>
          </w:p>
          <w:p w:rsidR="005B76D6" w:rsidRPr="00FB4993" w:rsidRDefault="005B76D6" w:rsidP="005B76D6">
            <w:pPr>
              <w:pStyle w:val="ListeParagraf"/>
              <w:numPr>
                <w:ilvl w:val="0"/>
                <w:numId w:val="1"/>
              </w:numPr>
              <w:jc w:val="left"/>
              <w:rPr>
                <w:rFonts w:asciiTheme="minorHAnsi" w:hAnsiTheme="minorHAnsi"/>
                <w:bCs/>
                <w:sz w:val="18"/>
                <w:szCs w:val="18"/>
              </w:rPr>
            </w:pPr>
            <w:r w:rsidRPr="00FB4993">
              <w:rPr>
                <w:rFonts w:asciiTheme="minorHAnsi" w:hAnsiTheme="minorHAnsi"/>
                <w:sz w:val="18"/>
                <w:szCs w:val="18"/>
              </w:rPr>
              <w:t>Nieuwenhuijsen, J. M., Dadvand, P., Grellier, J., Martinez, D., Vrijheid, M. (2013). Environmental risk factors of pregnancy outcomes: a summary of recent meta -analyses of epidemiological studies. Environmental Health, 12(6):1 -10.</w:t>
            </w:r>
          </w:p>
          <w:p w:rsidR="00AF2777" w:rsidRPr="00CC2E4E" w:rsidRDefault="00AF2777" w:rsidP="005B76D6">
            <w:pPr>
              <w:pStyle w:val="Kaynakca"/>
              <w:ind w:left="0" w:firstLine="0"/>
              <w:rPr>
                <w:rFonts w:asciiTheme="minorHAnsi" w:hAnsiTheme="minorHAnsi"/>
                <w:sz w:val="18"/>
                <w:szCs w:val="18"/>
                <w:lang w:val="tr-TR"/>
              </w:rPr>
            </w:pP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Pr>
                <w:szCs w:val="16"/>
              </w:rPr>
              <w:lastRenderedPageBreak/>
              <w:t xml:space="preserve">Dersin </w:t>
            </w:r>
            <w:r w:rsidRPr="001A2552">
              <w:rPr>
                <w:szCs w:val="16"/>
              </w:rPr>
              <w:t>Kredisi</w:t>
            </w:r>
            <w:r>
              <w:rPr>
                <w:szCs w:val="16"/>
              </w:rPr>
              <w:t xml:space="preserve"> (AKTS)</w:t>
            </w:r>
          </w:p>
        </w:tc>
        <w:tc>
          <w:tcPr>
            <w:tcW w:w="7724" w:type="dxa"/>
            <w:vAlign w:val="center"/>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2</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Laboratuvar</w:t>
            </w:r>
          </w:p>
        </w:tc>
        <w:tc>
          <w:tcPr>
            <w:tcW w:w="7724" w:type="dxa"/>
            <w:vAlign w:val="center"/>
          </w:tcPr>
          <w:p w:rsidR="00AF2777" w:rsidRPr="00CC2E4E" w:rsidRDefault="00AF2777" w:rsidP="003E286C">
            <w:pPr>
              <w:pStyle w:val="DersBilgileri"/>
              <w:rPr>
                <w:rFonts w:asciiTheme="minorHAnsi" w:hAnsiTheme="minorHAnsi"/>
                <w:sz w:val="18"/>
                <w:szCs w:val="18"/>
              </w:rPr>
            </w:pPr>
            <w:r w:rsidRPr="00CC2E4E">
              <w:rPr>
                <w:rFonts w:asciiTheme="minorHAnsi" w:hAnsiTheme="minorHAnsi"/>
                <w:sz w:val="18"/>
                <w:szCs w:val="18"/>
              </w:rPr>
              <w:t>Dersin laboratuar/hastane çalışması bulunmamaktadır</w:t>
            </w:r>
          </w:p>
        </w:tc>
      </w:tr>
      <w:tr w:rsidR="00AF2777" w:rsidRPr="001A2552" w:rsidTr="00C93040">
        <w:trPr>
          <w:jc w:val="center"/>
        </w:trPr>
        <w:tc>
          <w:tcPr>
            <w:tcW w:w="1488" w:type="dxa"/>
            <w:vAlign w:val="center"/>
          </w:tcPr>
          <w:p w:rsidR="00AF2777" w:rsidRPr="001A2552" w:rsidRDefault="00AF2777" w:rsidP="003E286C">
            <w:pPr>
              <w:pStyle w:val="DersBasliklar"/>
              <w:rPr>
                <w:szCs w:val="16"/>
              </w:rPr>
            </w:pPr>
            <w:r w:rsidRPr="001A2552">
              <w:rPr>
                <w:szCs w:val="16"/>
              </w:rPr>
              <w:t>Diğer-1</w:t>
            </w:r>
          </w:p>
        </w:tc>
        <w:tc>
          <w:tcPr>
            <w:tcW w:w="7724" w:type="dxa"/>
            <w:vAlign w:val="center"/>
          </w:tcPr>
          <w:p w:rsidR="00AF2777" w:rsidRPr="00CC2E4E" w:rsidRDefault="00AF2777" w:rsidP="003E286C">
            <w:pPr>
              <w:pStyle w:val="DersBilgileri"/>
              <w:rPr>
                <w:rFonts w:asciiTheme="minorHAnsi" w:hAnsiTheme="minorHAnsi"/>
                <w:sz w:val="18"/>
                <w:szCs w:val="18"/>
              </w:rPr>
            </w:pPr>
          </w:p>
        </w:tc>
      </w:tr>
    </w:tbl>
    <w:p w:rsidR="00AF2777" w:rsidRPr="001A2552" w:rsidRDefault="00AF2777" w:rsidP="00AF2777">
      <w:pPr>
        <w:rPr>
          <w:sz w:val="16"/>
          <w:szCs w:val="16"/>
        </w:rPr>
      </w:pPr>
    </w:p>
    <w:p w:rsidR="00AF2777" w:rsidRPr="001A2552" w:rsidRDefault="00AF2777" w:rsidP="00AF2777">
      <w:pPr>
        <w:rPr>
          <w:sz w:val="16"/>
          <w:szCs w:val="16"/>
        </w:rPr>
      </w:pPr>
    </w:p>
    <w:p w:rsidR="00AF2777" w:rsidRPr="001A2552" w:rsidRDefault="00AF2777" w:rsidP="00AF2777">
      <w:pPr>
        <w:rPr>
          <w:sz w:val="16"/>
          <w:szCs w:val="16"/>
        </w:rPr>
      </w:pPr>
    </w:p>
    <w:p w:rsidR="00AF2777" w:rsidRDefault="00AF2777" w:rsidP="00AF2777"/>
    <w:p w:rsidR="00AF2777" w:rsidRDefault="00AF2777" w:rsidP="00AF2777"/>
    <w:p w:rsidR="00C81380" w:rsidRDefault="00C81380"/>
    <w:sectPr w:rsidR="00C81380" w:rsidSect="001737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01B2A"/>
    <w:multiLevelType w:val="hybridMultilevel"/>
    <w:tmpl w:val="B7A4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77"/>
    <w:rsid w:val="000024FE"/>
    <w:rsid w:val="000221AA"/>
    <w:rsid w:val="000353F1"/>
    <w:rsid w:val="0005239D"/>
    <w:rsid w:val="000805DD"/>
    <w:rsid w:val="0008498A"/>
    <w:rsid w:val="0009169A"/>
    <w:rsid w:val="000A089F"/>
    <w:rsid w:val="000A519B"/>
    <w:rsid w:val="000A7972"/>
    <w:rsid w:val="000B3B82"/>
    <w:rsid w:val="000C77B8"/>
    <w:rsid w:val="000D3F0A"/>
    <w:rsid w:val="000E68B4"/>
    <w:rsid w:val="000F5648"/>
    <w:rsid w:val="001045D6"/>
    <w:rsid w:val="00115B8E"/>
    <w:rsid w:val="0012682D"/>
    <w:rsid w:val="00130A97"/>
    <w:rsid w:val="001514A7"/>
    <w:rsid w:val="001534F0"/>
    <w:rsid w:val="00153D31"/>
    <w:rsid w:val="00154198"/>
    <w:rsid w:val="00157463"/>
    <w:rsid w:val="00160118"/>
    <w:rsid w:val="00173C3A"/>
    <w:rsid w:val="001805E0"/>
    <w:rsid w:val="00187C0C"/>
    <w:rsid w:val="00194D55"/>
    <w:rsid w:val="001B2088"/>
    <w:rsid w:val="001B2E04"/>
    <w:rsid w:val="001B768D"/>
    <w:rsid w:val="001C3AFE"/>
    <w:rsid w:val="001D1B3A"/>
    <w:rsid w:val="001D67E7"/>
    <w:rsid w:val="001E6743"/>
    <w:rsid w:val="001E7BEE"/>
    <w:rsid w:val="001F0841"/>
    <w:rsid w:val="001F0AEE"/>
    <w:rsid w:val="002015B4"/>
    <w:rsid w:val="00217D00"/>
    <w:rsid w:val="00260F01"/>
    <w:rsid w:val="00293A6F"/>
    <w:rsid w:val="00297423"/>
    <w:rsid w:val="002A13CB"/>
    <w:rsid w:val="002B5B2D"/>
    <w:rsid w:val="002C3857"/>
    <w:rsid w:val="002C3F13"/>
    <w:rsid w:val="002D72C1"/>
    <w:rsid w:val="002E0BDF"/>
    <w:rsid w:val="00321D5C"/>
    <w:rsid w:val="003546D5"/>
    <w:rsid w:val="003968F4"/>
    <w:rsid w:val="003A2CE9"/>
    <w:rsid w:val="003A3FF2"/>
    <w:rsid w:val="003B1050"/>
    <w:rsid w:val="003C057F"/>
    <w:rsid w:val="003D25D1"/>
    <w:rsid w:val="003F398A"/>
    <w:rsid w:val="003F7243"/>
    <w:rsid w:val="0040288C"/>
    <w:rsid w:val="004126D4"/>
    <w:rsid w:val="00416CAC"/>
    <w:rsid w:val="0042406B"/>
    <w:rsid w:val="00442582"/>
    <w:rsid w:val="00445284"/>
    <w:rsid w:val="00455A72"/>
    <w:rsid w:val="00460CA6"/>
    <w:rsid w:val="00463CC2"/>
    <w:rsid w:val="00477130"/>
    <w:rsid w:val="004803D3"/>
    <w:rsid w:val="00490718"/>
    <w:rsid w:val="004A14C1"/>
    <w:rsid w:val="004A16B4"/>
    <w:rsid w:val="004B4A3A"/>
    <w:rsid w:val="004D44DD"/>
    <w:rsid w:val="004E42F3"/>
    <w:rsid w:val="004F22B7"/>
    <w:rsid w:val="00501C2E"/>
    <w:rsid w:val="0053236E"/>
    <w:rsid w:val="00532533"/>
    <w:rsid w:val="005365E0"/>
    <w:rsid w:val="005A0046"/>
    <w:rsid w:val="005B38D0"/>
    <w:rsid w:val="005B6B31"/>
    <w:rsid w:val="005B76D6"/>
    <w:rsid w:val="005C3DCF"/>
    <w:rsid w:val="005D20CA"/>
    <w:rsid w:val="005D2AA8"/>
    <w:rsid w:val="005D3958"/>
    <w:rsid w:val="005E4D0E"/>
    <w:rsid w:val="006070C3"/>
    <w:rsid w:val="00607D39"/>
    <w:rsid w:val="00621BAB"/>
    <w:rsid w:val="006622DC"/>
    <w:rsid w:val="00671E72"/>
    <w:rsid w:val="00691B8D"/>
    <w:rsid w:val="006922A8"/>
    <w:rsid w:val="00697E43"/>
    <w:rsid w:val="006A7949"/>
    <w:rsid w:val="006B2B01"/>
    <w:rsid w:val="006B6689"/>
    <w:rsid w:val="006D3E5F"/>
    <w:rsid w:val="006F1DC2"/>
    <w:rsid w:val="00740571"/>
    <w:rsid w:val="00741B4C"/>
    <w:rsid w:val="007477CF"/>
    <w:rsid w:val="00757413"/>
    <w:rsid w:val="0075746B"/>
    <w:rsid w:val="00766C71"/>
    <w:rsid w:val="00777B4C"/>
    <w:rsid w:val="00781217"/>
    <w:rsid w:val="00784A7A"/>
    <w:rsid w:val="00792EC0"/>
    <w:rsid w:val="00793F74"/>
    <w:rsid w:val="00795A6D"/>
    <w:rsid w:val="00797EA0"/>
    <w:rsid w:val="007A353B"/>
    <w:rsid w:val="007B1ACC"/>
    <w:rsid w:val="007E2417"/>
    <w:rsid w:val="007F6C43"/>
    <w:rsid w:val="00806B39"/>
    <w:rsid w:val="00820C6C"/>
    <w:rsid w:val="00823D43"/>
    <w:rsid w:val="008253CF"/>
    <w:rsid w:val="00836E84"/>
    <w:rsid w:val="00875108"/>
    <w:rsid w:val="00891C26"/>
    <w:rsid w:val="00892603"/>
    <w:rsid w:val="0089407C"/>
    <w:rsid w:val="008A05A8"/>
    <w:rsid w:val="008A3981"/>
    <w:rsid w:val="008D12C2"/>
    <w:rsid w:val="008D2D7F"/>
    <w:rsid w:val="008D76BB"/>
    <w:rsid w:val="008E489A"/>
    <w:rsid w:val="00906D9C"/>
    <w:rsid w:val="0091505E"/>
    <w:rsid w:val="009467D1"/>
    <w:rsid w:val="00947F60"/>
    <w:rsid w:val="0095543E"/>
    <w:rsid w:val="00961F3E"/>
    <w:rsid w:val="00980A93"/>
    <w:rsid w:val="009A2A7E"/>
    <w:rsid w:val="009B2C9A"/>
    <w:rsid w:val="009B653C"/>
    <w:rsid w:val="009D0BC6"/>
    <w:rsid w:val="009E115A"/>
    <w:rsid w:val="009E475A"/>
    <w:rsid w:val="00A02B10"/>
    <w:rsid w:val="00A13096"/>
    <w:rsid w:val="00A21DF1"/>
    <w:rsid w:val="00A2620C"/>
    <w:rsid w:val="00A37EAB"/>
    <w:rsid w:val="00A4653E"/>
    <w:rsid w:val="00A6087D"/>
    <w:rsid w:val="00A670F1"/>
    <w:rsid w:val="00A85D6D"/>
    <w:rsid w:val="00A8644F"/>
    <w:rsid w:val="00A95CE1"/>
    <w:rsid w:val="00A97F2C"/>
    <w:rsid w:val="00AB3D13"/>
    <w:rsid w:val="00AB6B3D"/>
    <w:rsid w:val="00AC0A37"/>
    <w:rsid w:val="00AC2279"/>
    <w:rsid w:val="00AD6DD7"/>
    <w:rsid w:val="00AE19C4"/>
    <w:rsid w:val="00AE293D"/>
    <w:rsid w:val="00AF2777"/>
    <w:rsid w:val="00B04069"/>
    <w:rsid w:val="00B103B4"/>
    <w:rsid w:val="00B120AA"/>
    <w:rsid w:val="00B244E3"/>
    <w:rsid w:val="00B26F1D"/>
    <w:rsid w:val="00B374D3"/>
    <w:rsid w:val="00B603EB"/>
    <w:rsid w:val="00B63F92"/>
    <w:rsid w:val="00B66911"/>
    <w:rsid w:val="00B729D2"/>
    <w:rsid w:val="00B81BE0"/>
    <w:rsid w:val="00B910CC"/>
    <w:rsid w:val="00B93430"/>
    <w:rsid w:val="00BA08BA"/>
    <w:rsid w:val="00BA18D4"/>
    <w:rsid w:val="00BA219F"/>
    <w:rsid w:val="00BA607C"/>
    <w:rsid w:val="00BB15F4"/>
    <w:rsid w:val="00BB71A8"/>
    <w:rsid w:val="00BB7BBF"/>
    <w:rsid w:val="00BD3BC5"/>
    <w:rsid w:val="00BD7007"/>
    <w:rsid w:val="00BE672B"/>
    <w:rsid w:val="00BF330C"/>
    <w:rsid w:val="00C02E09"/>
    <w:rsid w:val="00C14309"/>
    <w:rsid w:val="00C1790F"/>
    <w:rsid w:val="00C33D59"/>
    <w:rsid w:val="00C40372"/>
    <w:rsid w:val="00C42EF2"/>
    <w:rsid w:val="00C44EA8"/>
    <w:rsid w:val="00C6794C"/>
    <w:rsid w:val="00C81380"/>
    <w:rsid w:val="00C818FF"/>
    <w:rsid w:val="00C93040"/>
    <w:rsid w:val="00C9531E"/>
    <w:rsid w:val="00CA6C3C"/>
    <w:rsid w:val="00CB0C69"/>
    <w:rsid w:val="00CB5380"/>
    <w:rsid w:val="00CB7EA8"/>
    <w:rsid w:val="00CC2E4E"/>
    <w:rsid w:val="00CE002E"/>
    <w:rsid w:val="00CE7BB5"/>
    <w:rsid w:val="00D0230C"/>
    <w:rsid w:val="00D13699"/>
    <w:rsid w:val="00D4280F"/>
    <w:rsid w:val="00D607CD"/>
    <w:rsid w:val="00D71685"/>
    <w:rsid w:val="00D831C5"/>
    <w:rsid w:val="00D90F24"/>
    <w:rsid w:val="00D92E75"/>
    <w:rsid w:val="00D971B1"/>
    <w:rsid w:val="00DA11C6"/>
    <w:rsid w:val="00DA6155"/>
    <w:rsid w:val="00DB4FA1"/>
    <w:rsid w:val="00DC6090"/>
    <w:rsid w:val="00DC70E8"/>
    <w:rsid w:val="00DE2509"/>
    <w:rsid w:val="00DE2926"/>
    <w:rsid w:val="00DF2179"/>
    <w:rsid w:val="00E25251"/>
    <w:rsid w:val="00E42D59"/>
    <w:rsid w:val="00E605EC"/>
    <w:rsid w:val="00E613D1"/>
    <w:rsid w:val="00E624EB"/>
    <w:rsid w:val="00E935F8"/>
    <w:rsid w:val="00E96F70"/>
    <w:rsid w:val="00EA1255"/>
    <w:rsid w:val="00EA18F9"/>
    <w:rsid w:val="00EB06B4"/>
    <w:rsid w:val="00EC2B87"/>
    <w:rsid w:val="00EC2E84"/>
    <w:rsid w:val="00EF3D4A"/>
    <w:rsid w:val="00F05E19"/>
    <w:rsid w:val="00F07301"/>
    <w:rsid w:val="00F10253"/>
    <w:rsid w:val="00F12C48"/>
    <w:rsid w:val="00F30255"/>
    <w:rsid w:val="00F41250"/>
    <w:rsid w:val="00F4449A"/>
    <w:rsid w:val="00F552BC"/>
    <w:rsid w:val="00F7712F"/>
    <w:rsid w:val="00F81BFE"/>
    <w:rsid w:val="00FA4960"/>
    <w:rsid w:val="00FB23AC"/>
    <w:rsid w:val="00FB4906"/>
    <w:rsid w:val="00FB4993"/>
    <w:rsid w:val="00FB5090"/>
    <w:rsid w:val="00FD4D10"/>
    <w:rsid w:val="00FE306C"/>
    <w:rsid w:val="00FF4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26D58-4644-42E6-9160-41215AB0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77"/>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F2777"/>
    <w:pPr>
      <w:tabs>
        <w:tab w:val="left" w:pos="3060"/>
      </w:tabs>
      <w:spacing w:before="80" w:after="80"/>
      <w:ind w:left="144"/>
    </w:pPr>
    <w:rPr>
      <w:b/>
      <w:bCs/>
      <w:i/>
      <w:sz w:val="16"/>
    </w:rPr>
  </w:style>
  <w:style w:type="paragraph" w:customStyle="1" w:styleId="DersBilgileri">
    <w:name w:val="Ders Bilgileri"/>
    <w:basedOn w:val="Normal"/>
    <w:rsid w:val="00AF2777"/>
    <w:pPr>
      <w:spacing w:before="80" w:after="80"/>
      <w:ind w:left="144" w:right="144"/>
    </w:pPr>
    <w:rPr>
      <w:sz w:val="16"/>
    </w:rPr>
  </w:style>
  <w:style w:type="paragraph" w:customStyle="1" w:styleId="Basliklar">
    <w:name w:val="Basliklar"/>
    <w:basedOn w:val="Normal"/>
    <w:rsid w:val="00AF2777"/>
    <w:pPr>
      <w:keepNext/>
      <w:spacing w:before="240" w:after="120"/>
      <w:jc w:val="left"/>
    </w:pPr>
    <w:rPr>
      <w:b/>
    </w:rPr>
  </w:style>
  <w:style w:type="paragraph" w:customStyle="1" w:styleId="Kaynakca">
    <w:name w:val="Kaynakca"/>
    <w:basedOn w:val="Normal"/>
    <w:rsid w:val="00AF2777"/>
    <w:pPr>
      <w:keepLines/>
      <w:spacing w:before="20" w:after="20"/>
      <w:ind w:left="432" w:hanging="288"/>
    </w:pPr>
    <w:rPr>
      <w:sz w:val="16"/>
      <w:szCs w:val="20"/>
      <w:lang w:val="en-US"/>
    </w:rPr>
  </w:style>
  <w:style w:type="character" w:styleId="Kpr">
    <w:name w:val="Hyperlink"/>
    <w:basedOn w:val="VarsaylanParagrafYazTipi"/>
    <w:uiPriority w:val="99"/>
    <w:unhideWhenUsed/>
    <w:rsid w:val="00AF2777"/>
    <w:rPr>
      <w:color w:val="0000FF" w:themeColor="hyperlink"/>
      <w:u w:val="single"/>
    </w:rPr>
  </w:style>
  <w:style w:type="paragraph" w:styleId="ListeParagraf">
    <w:name w:val="List Paragraph"/>
    <w:basedOn w:val="Normal"/>
    <w:uiPriority w:val="34"/>
    <w:qFormat/>
    <w:rsid w:val="00FB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b.gov.tr/db/cygm/editordosya/TibbiAtiklar&#196;&#177;nKontroluYonetmelig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09/07/20090730-2.htm" TargetMode="External"/><Relationship Id="rId5" Type="http://schemas.openxmlformats.org/officeDocument/2006/relationships/hyperlink" Target="http://dogader.org/index.php/bilgi/372-atiklar-yakildiginda-tehlike-daha-da-art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sgk</dc:creator>
  <cp:keywords/>
  <dc:description/>
  <cp:lastModifiedBy>hemşire</cp:lastModifiedBy>
  <cp:revision>2</cp:revision>
  <dcterms:created xsi:type="dcterms:W3CDTF">2019-09-10T08:55:00Z</dcterms:created>
  <dcterms:modified xsi:type="dcterms:W3CDTF">2019-09-10T08:55:00Z</dcterms:modified>
</cp:coreProperties>
</file>